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780DD" w14:textId="77777777" w:rsidR="00A60F48" w:rsidRDefault="00A60F48" w:rsidP="00454C7F">
      <w:pPr>
        <w:spacing w:line="276" w:lineRule="auto"/>
        <w:jc w:val="center"/>
        <w:rPr>
          <w:rFonts w:ascii="Verdana" w:hAnsi="Verdana"/>
          <w:b/>
          <w:sz w:val="20"/>
          <w:szCs w:val="20"/>
        </w:rPr>
      </w:pPr>
    </w:p>
    <w:p w14:paraId="725F66A3" w14:textId="77777777" w:rsidR="00A60F48" w:rsidRDefault="00A60F48" w:rsidP="00454C7F">
      <w:pPr>
        <w:spacing w:line="276" w:lineRule="auto"/>
        <w:jc w:val="center"/>
        <w:rPr>
          <w:rFonts w:ascii="Verdana" w:hAnsi="Verdana"/>
          <w:b/>
          <w:sz w:val="20"/>
          <w:szCs w:val="20"/>
        </w:rPr>
      </w:pPr>
    </w:p>
    <w:p w14:paraId="50F16217" w14:textId="77777777" w:rsidR="00A60F48" w:rsidRDefault="00A60F48" w:rsidP="00454C7F">
      <w:pPr>
        <w:spacing w:line="276" w:lineRule="auto"/>
        <w:jc w:val="center"/>
        <w:rPr>
          <w:rFonts w:ascii="Verdana" w:hAnsi="Verdana"/>
          <w:b/>
          <w:sz w:val="20"/>
          <w:szCs w:val="20"/>
        </w:rPr>
      </w:pPr>
    </w:p>
    <w:p w14:paraId="574CF554" w14:textId="77777777" w:rsidR="00A60F48" w:rsidRDefault="00A60F48" w:rsidP="00454C7F">
      <w:pPr>
        <w:spacing w:line="276" w:lineRule="auto"/>
        <w:jc w:val="center"/>
        <w:rPr>
          <w:rFonts w:ascii="Verdana" w:hAnsi="Verdana"/>
          <w:b/>
          <w:sz w:val="20"/>
          <w:szCs w:val="20"/>
        </w:rPr>
      </w:pPr>
    </w:p>
    <w:p w14:paraId="1ED7889C" w14:textId="77777777" w:rsidR="00A60F48" w:rsidRDefault="00A60F48" w:rsidP="00454C7F">
      <w:pPr>
        <w:spacing w:line="276" w:lineRule="auto"/>
        <w:jc w:val="center"/>
        <w:rPr>
          <w:rFonts w:ascii="Verdana" w:hAnsi="Verdana"/>
          <w:b/>
          <w:sz w:val="20"/>
          <w:szCs w:val="20"/>
        </w:rPr>
      </w:pPr>
    </w:p>
    <w:p w14:paraId="4DA098D8" w14:textId="77777777" w:rsidR="00A60F48" w:rsidRDefault="00A60F48" w:rsidP="00454C7F">
      <w:pPr>
        <w:spacing w:line="276" w:lineRule="auto"/>
        <w:jc w:val="center"/>
        <w:rPr>
          <w:rFonts w:ascii="Verdana" w:hAnsi="Verdana"/>
          <w:b/>
          <w:sz w:val="20"/>
          <w:szCs w:val="20"/>
        </w:rPr>
      </w:pPr>
    </w:p>
    <w:p w14:paraId="07A7F5E0" w14:textId="134EF658" w:rsidR="003D75D5" w:rsidRPr="005A4DF1" w:rsidRDefault="00706094" w:rsidP="00454C7F">
      <w:pPr>
        <w:spacing w:line="276" w:lineRule="auto"/>
        <w:jc w:val="center"/>
        <w:rPr>
          <w:rFonts w:ascii="Verdana" w:hAnsi="Verdana"/>
          <w:b/>
          <w:sz w:val="20"/>
          <w:szCs w:val="20"/>
        </w:rPr>
      </w:pPr>
      <w:r w:rsidRPr="005A4DF1">
        <w:rPr>
          <w:rFonts w:ascii="Verdana" w:hAnsi="Verdana"/>
          <w:b/>
          <w:sz w:val="20"/>
          <w:szCs w:val="20"/>
        </w:rPr>
        <w:t>V</w:t>
      </w:r>
      <w:r w:rsidR="007A3B5E" w:rsidRPr="005A4DF1">
        <w:rPr>
          <w:rFonts w:ascii="Verdana" w:hAnsi="Verdana"/>
          <w:b/>
          <w:sz w:val="20"/>
          <w:szCs w:val="20"/>
        </w:rPr>
        <w:t>OTO CONCURRENTE</w:t>
      </w:r>
      <w:r w:rsidR="003F7702" w:rsidRPr="005A4DF1">
        <w:rPr>
          <w:rFonts w:ascii="Verdana" w:hAnsi="Verdana"/>
          <w:b/>
          <w:sz w:val="20"/>
          <w:szCs w:val="20"/>
        </w:rPr>
        <w:t xml:space="preserve"> DEL</w:t>
      </w:r>
    </w:p>
    <w:p w14:paraId="03D0B949" w14:textId="3EEEBA70" w:rsidR="006C467C" w:rsidRPr="005A4DF1" w:rsidRDefault="003F7702" w:rsidP="00454C7F">
      <w:pPr>
        <w:spacing w:line="276" w:lineRule="auto"/>
        <w:jc w:val="center"/>
        <w:rPr>
          <w:rFonts w:ascii="Verdana" w:hAnsi="Verdana"/>
          <w:b/>
          <w:sz w:val="20"/>
          <w:szCs w:val="20"/>
        </w:rPr>
      </w:pPr>
      <w:r w:rsidRPr="005A4DF1">
        <w:rPr>
          <w:rFonts w:ascii="Verdana" w:hAnsi="Verdana"/>
          <w:b/>
          <w:sz w:val="20"/>
          <w:szCs w:val="20"/>
        </w:rPr>
        <w:t>JUEZ EDU</w:t>
      </w:r>
      <w:r w:rsidR="003D75D5" w:rsidRPr="005A4DF1">
        <w:rPr>
          <w:rFonts w:ascii="Verdana" w:hAnsi="Verdana"/>
          <w:b/>
          <w:sz w:val="20"/>
          <w:szCs w:val="20"/>
        </w:rPr>
        <w:t>ARDO FERRER MAC-GREGOR POISOT</w:t>
      </w:r>
    </w:p>
    <w:p w14:paraId="51904447" w14:textId="67733832" w:rsidR="003D75D5" w:rsidRPr="005A4DF1" w:rsidRDefault="003D75D5" w:rsidP="00454C7F">
      <w:pPr>
        <w:spacing w:line="276" w:lineRule="auto"/>
        <w:jc w:val="center"/>
        <w:rPr>
          <w:rFonts w:ascii="Verdana" w:hAnsi="Verdana"/>
          <w:b/>
          <w:sz w:val="20"/>
          <w:szCs w:val="20"/>
        </w:rPr>
      </w:pPr>
    </w:p>
    <w:p w14:paraId="26983096" w14:textId="77777777" w:rsidR="003D75D5" w:rsidRPr="005A4DF1" w:rsidRDefault="003F7702" w:rsidP="00454C7F">
      <w:pPr>
        <w:spacing w:line="276" w:lineRule="auto"/>
        <w:jc w:val="center"/>
        <w:rPr>
          <w:rFonts w:ascii="Verdana" w:hAnsi="Verdana"/>
          <w:b/>
          <w:i/>
          <w:sz w:val="20"/>
          <w:szCs w:val="20"/>
          <w:u w:val="single"/>
        </w:rPr>
      </w:pPr>
      <w:r w:rsidRPr="005A4DF1">
        <w:rPr>
          <w:rFonts w:ascii="Verdana" w:hAnsi="Verdana"/>
          <w:b/>
          <w:i/>
          <w:sz w:val="20"/>
          <w:szCs w:val="20"/>
          <w:u w:val="single"/>
        </w:rPr>
        <w:t>CASO YARCE Y OTRAS VS. COLOMBIA</w:t>
      </w:r>
    </w:p>
    <w:p w14:paraId="141838D0" w14:textId="77777777" w:rsidR="006C467C" w:rsidRPr="005A4DF1" w:rsidRDefault="006C467C" w:rsidP="00454C7F">
      <w:pPr>
        <w:spacing w:line="276" w:lineRule="auto"/>
        <w:jc w:val="center"/>
        <w:rPr>
          <w:rFonts w:ascii="Verdana" w:hAnsi="Verdana"/>
          <w:b/>
          <w:sz w:val="20"/>
          <w:szCs w:val="20"/>
          <w:u w:val="single"/>
        </w:rPr>
      </w:pPr>
    </w:p>
    <w:p w14:paraId="378CA756" w14:textId="35D45E66" w:rsidR="003F7702" w:rsidRPr="00CA318C" w:rsidRDefault="00FF741E" w:rsidP="00454C7F">
      <w:pPr>
        <w:spacing w:line="276" w:lineRule="auto"/>
        <w:jc w:val="center"/>
        <w:rPr>
          <w:rFonts w:ascii="Verdana" w:hAnsi="Verdana"/>
          <w:b/>
          <w:sz w:val="18"/>
          <w:szCs w:val="18"/>
        </w:rPr>
      </w:pPr>
      <w:r w:rsidRPr="00CA318C">
        <w:rPr>
          <w:rFonts w:ascii="Verdana" w:hAnsi="Verdana"/>
          <w:b/>
          <w:sz w:val="18"/>
          <w:szCs w:val="18"/>
        </w:rPr>
        <w:t>SENTENCIA DE 22</w:t>
      </w:r>
      <w:r w:rsidR="00AA0FFF" w:rsidRPr="00CA318C">
        <w:rPr>
          <w:rFonts w:ascii="Verdana" w:hAnsi="Verdana"/>
          <w:b/>
          <w:sz w:val="18"/>
          <w:szCs w:val="18"/>
        </w:rPr>
        <w:t xml:space="preserve"> DE NOVIEMBRE DE 2016</w:t>
      </w:r>
    </w:p>
    <w:p w14:paraId="29FC549A" w14:textId="0918AC02" w:rsidR="003F7702" w:rsidRPr="00CA318C" w:rsidRDefault="00EF64F3" w:rsidP="00454C7F">
      <w:pPr>
        <w:spacing w:line="276" w:lineRule="auto"/>
        <w:jc w:val="center"/>
        <w:rPr>
          <w:rFonts w:ascii="Verdana" w:hAnsi="Verdana"/>
          <w:b/>
          <w:i/>
          <w:sz w:val="18"/>
          <w:szCs w:val="18"/>
        </w:rPr>
      </w:pPr>
      <w:r w:rsidRPr="00CA318C">
        <w:rPr>
          <w:rFonts w:ascii="Verdana" w:hAnsi="Verdana"/>
          <w:b/>
          <w:i/>
          <w:sz w:val="18"/>
          <w:szCs w:val="18"/>
        </w:rPr>
        <w:t>(</w:t>
      </w:r>
      <w:r w:rsidR="003F7702" w:rsidRPr="00CA318C">
        <w:rPr>
          <w:rFonts w:ascii="Verdana" w:hAnsi="Verdana"/>
          <w:b/>
          <w:i/>
          <w:sz w:val="18"/>
          <w:szCs w:val="18"/>
        </w:rPr>
        <w:t>EXCEPCIONES PRELIMINARES, FONDO, REPARACIONES Y COSTAS</w:t>
      </w:r>
      <w:r w:rsidRPr="00CA318C">
        <w:rPr>
          <w:rFonts w:ascii="Verdana" w:hAnsi="Verdana"/>
          <w:b/>
          <w:i/>
          <w:sz w:val="18"/>
          <w:szCs w:val="18"/>
        </w:rPr>
        <w:t>)</w:t>
      </w:r>
    </w:p>
    <w:p w14:paraId="504660ED" w14:textId="77777777" w:rsidR="003F7702" w:rsidRPr="005A4DF1" w:rsidRDefault="003F7702" w:rsidP="00454C7F">
      <w:pPr>
        <w:spacing w:line="276" w:lineRule="auto"/>
        <w:jc w:val="center"/>
        <w:rPr>
          <w:rFonts w:ascii="Verdana" w:hAnsi="Verdana"/>
          <w:b/>
          <w:sz w:val="20"/>
          <w:szCs w:val="20"/>
        </w:rPr>
      </w:pPr>
    </w:p>
    <w:p w14:paraId="48D2E65F" w14:textId="77777777" w:rsidR="00AD13EB" w:rsidRPr="00187189" w:rsidRDefault="00AD13EB" w:rsidP="00187189">
      <w:pPr>
        <w:tabs>
          <w:tab w:val="left" w:pos="5812"/>
        </w:tabs>
        <w:spacing w:line="276" w:lineRule="auto"/>
        <w:rPr>
          <w:rFonts w:ascii="Verdana" w:hAnsi="Verdana"/>
          <w:sz w:val="20"/>
          <w:szCs w:val="20"/>
        </w:rPr>
      </w:pPr>
    </w:p>
    <w:p w14:paraId="37013ACA" w14:textId="0C43BA84" w:rsidR="009649CC" w:rsidRPr="00187189" w:rsidRDefault="009649CC" w:rsidP="00454C7F">
      <w:pPr>
        <w:tabs>
          <w:tab w:val="left" w:pos="5812"/>
        </w:tabs>
        <w:spacing w:line="276" w:lineRule="auto"/>
        <w:jc w:val="center"/>
        <w:rPr>
          <w:rFonts w:ascii="Verdana" w:hAnsi="Verdana"/>
          <w:sz w:val="20"/>
          <w:szCs w:val="20"/>
        </w:rPr>
      </w:pPr>
      <w:r w:rsidRPr="00187189">
        <w:rPr>
          <w:rFonts w:ascii="Verdana" w:hAnsi="Verdana"/>
          <w:sz w:val="20"/>
          <w:szCs w:val="20"/>
        </w:rPr>
        <w:t>INTRODUCCIÓN</w:t>
      </w:r>
      <w:r w:rsidR="004868EA" w:rsidRPr="00187189">
        <w:rPr>
          <w:rFonts w:ascii="Verdana" w:hAnsi="Verdana"/>
          <w:sz w:val="20"/>
          <w:szCs w:val="20"/>
        </w:rPr>
        <w:t>:</w:t>
      </w:r>
    </w:p>
    <w:p w14:paraId="2D8453F0" w14:textId="0E508FBC" w:rsidR="004868EA" w:rsidRPr="00187189" w:rsidRDefault="00EF64F3" w:rsidP="00454C7F">
      <w:pPr>
        <w:tabs>
          <w:tab w:val="left" w:pos="5812"/>
        </w:tabs>
        <w:spacing w:line="276" w:lineRule="auto"/>
        <w:jc w:val="center"/>
        <w:rPr>
          <w:rFonts w:ascii="Verdana" w:hAnsi="Verdana"/>
          <w:sz w:val="20"/>
          <w:szCs w:val="20"/>
        </w:rPr>
      </w:pPr>
      <w:r w:rsidRPr="00187189">
        <w:rPr>
          <w:rFonts w:ascii="Verdana" w:hAnsi="Verdana"/>
          <w:sz w:val="20"/>
          <w:szCs w:val="20"/>
        </w:rPr>
        <w:t>¿</w:t>
      </w:r>
      <w:r w:rsidR="004868EA" w:rsidRPr="00187189">
        <w:rPr>
          <w:rFonts w:ascii="Verdana" w:hAnsi="Verdana"/>
          <w:sz w:val="20"/>
          <w:szCs w:val="20"/>
        </w:rPr>
        <w:t xml:space="preserve">UN SISTEMA DE DERECHOS HUMANOS SIN </w:t>
      </w:r>
      <w:r w:rsidR="004868EA" w:rsidRPr="00187189">
        <w:rPr>
          <w:rFonts w:ascii="Verdana" w:hAnsi="Verdana"/>
          <w:i/>
          <w:sz w:val="20"/>
          <w:szCs w:val="20"/>
        </w:rPr>
        <w:t>DERECHO A LA VIVIENDA</w:t>
      </w:r>
      <w:r w:rsidRPr="00187189">
        <w:rPr>
          <w:rFonts w:ascii="Verdana" w:hAnsi="Verdana"/>
          <w:sz w:val="20"/>
          <w:szCs w:val="20"/>
        </w:rPr>
        <w:t>?</w:t>
      </w:r>
    </w:p>
    <w:p w14:paraId="4539374B" w14:textId="77777777" w:rsidR="009649CC" w:rsidRPr="005A4DF1" w:rsidRDefault="009649CC" w:rsidP="00454C7F">
      <w:pPr>
        <w:spacing w:line="276" w:lineRule="auto"/>
        <w:jc w:val="both"/>
        <w:rPr>
          <w:rFonts w:ascii="Verdana" w:hAnsi="Verdana"/>
          <w:b/>
          <w:sz w:val="20"/>
          <w:szCs w:val="20"/>
        </w:rPr>
      </w:pPr>
    </w:p>
    <w:p w14:paraId="0D62D2A4" w14:textId="40B520A9" w:rsidR="008B668B" w:rsidRPr="005A4DF1" w:rsidRDefault="000B7FD4" w:rsidP="00454C7F">
      <w:pPr>
        <w:pStyle w:val="ListParagraph"/>
        <w:numPr>
          <w:ilvl w:val="0"/>
          <w:numId w:val="1"/>
        </w:numPr>
        <w:ind w:left="0" w:firstLine="0"/>
        <w:jc w:val="both"/>
        <w:rPr>
          <w:rFonts w:ascii="Verdana" w:hAnsi="Verdana"/>
          <w:sz w:val="20"/>
          <w:szCs w:val="20"/>
        </w:rPr>
      </w:pPr>
      <w:r w:rsidRPr="005A4DF1">
        <w:rPr>
          <w:rFonts w:ascii="Verdana" w:hAnsi="Verdana"/>
          <w:sz w:val="20"/>
          <w:szCs w:val="20"/>
        </w:rPr>
        <w:t xml:space="preserve">El </w:t>
      </w:r>
      <w:r w:rsidR="00EF64F3" w:rsidRPr="005A4DF1">
        <w:rPr>
          <w:rFonts w:ascii="Verdana" w:hAnsi="Verdana"/>
          <w:sz w:val="20"/>
          <w:szCs w:val="20"/>
        </w:rPr>
        <w:t xml:space="preserve">presente caso </w:t>
      </w:r>
      <w:r w:rsidR="00151226">
        <w:rPr>
          <w:rFonts w:ascii="Verdana" w:hAnsi="Verdana"/>
          <w:sz w:val="20"/>
          <w:szCs w:val="20"/>
        </w:rPr>
        <w:t>resulta relevante p</w:t>
      </w:r>
      <w:r w:rsidR="00354A23" w:rsidRPr="005A4DF1">
        <w:rPr>
          <w:rFonts w:ascii="Verdana" w:hAnsi="Verdana"/>
          <w:sz w:val="20"/>
          <w:szCs w:val="20"/>
        </w:rPr>
        <w:t>or dos asp</w:t>
      </w:r>
      <w:r w:rsidR="00605E16">
        <w:rPr>
          <w:rFonts w:ascii="Verdana" w:hAnsi="Verdana"/>
          <w:sz w:val="20"/>
          <w:szCs w:val="20"/>
        </w:rPr>
        <w:t>ectos de especial significación. En primer lugar</w:t>
      </w:r>
      <w:r w:rsidR="00354A23" w:rsidRPr="005A4DF1">
        <w:rPr>
          <w:rFonts w:ascii="Verdana" w:hAnsi="Verdana"/>
          <w:sz w:val="20"/>
          <w:szCs w:val="20"/>
        </w:rPr>
        <w:t xml:space="preserve">, </w:t>
      </w:r>
      <w:r w:rsidR="00EF64F3" w:rsidRPr="005A4DF1">
        <w:rPr>
          <w:rFonts w:ascii="Verdana" w:hAnsi="Verdana"/>
          <w:sz w:val="20"/>
          <w:szCs w:val="20"/>
        </w:rPr>
        <w:t>se</w:t>
      </w:r>
      <w:r w:rsidR="008B668B" w:rsidRPr="005A4DF1">
        <w:rPr>
          <w:rFonts w:ascii="Verdana" w:hAnsi="Verdana"/>
          <w:sz w:val="20"/>
          <w:szCs w:val="20"/>
        </w:rPr>
        <w:t xml:space="preserve"> enfatiza el género como un elemento adicional de vulnerabilidad en la labor de la </w:t>
      </w:r>
      <w:r w:rsidR="00EF64F3" w:rsidRPr="005A4DF1">
        <w:rPr>
          <w:rFonts w:ascii="Verdana" w:hAnsi="Verdana"/>
          <w:sz w:val="20"/>
          <w:szCs w:val="20"/>
        </w:rPr>
        <w:t>defensa de los derechos humanos;</w:t>
      </w:r>
      <w:r w:rsidR="008B668B" w:rsidRPr="005A4DF1">
        <w:rPr>
          <w:rFonts w:ascii="Verdana" w:hAnsi="Verdana"/>
          <w:sz w:val="20"/>
          <w:szCs w:val="20"/>
        </w:rPr>
        <w:t xml:space="preserve"> e</w:t>
      </w:r>
      <w:r w:rsidR="00EF64F3" w:rsidRPr="005A4DF1">
        <w:rPr>
          <w:rFonts w:ascii="Verdana" w:hAnsi="Verdana"/>
          <w:sz w:val="20"/>
          <w:szCs w:val="20"/>
        </w:rPr>
        <w:t>s decir, los Estados deben tener</w:t>
      </w:r>
      <w:r w:rsidR="008B668B" w:rsidRPr="005A4DF1">
        <w:rPr>
          <w:rFonts w:ascii="Verdana" w:hAnsi="Verdana"/>
          <w:sz w:val="20"/>
          <w:szCs w:val="20"/>
        </w:rPr>
        <w:t xml:space="preserve"> en cuenta una perspectiva de género para brindar efectivamente una protección integral a las defensoras de derechos humanos dentro los países de la región. </w:t>
      </w:r>
      <w:r w:rsidR="00130205" w:rsidRPr="005A4DF1">
        <w:rPr>
          <w:rFonts w:ascii="Verdana" w:hAnsi="Verdana"/>
          <w:sz w:val="20"/>
          <w:szCs w:val="20"/>
        </w:rPr>
        <w:t>En segundo lugar, o</w:t>
      </w:r>
      <w:r w:rsidR="00605E16">
        <w:rPr>
          <w:rFonts w:ascii="Verdana" w:hAnsi="Verdana"/>
          <w:sz w:val="20"/>
          <w:szCs w:val="20"/>
        </w:rPr>
        <w:t>tro factor de</w:t>
      </w:r>
      <w:r w:rsidR="008B668B" w:rsidRPr="005A4DF1">
        <w:rPr>
          <w:rFonts w:ascii="Verdana" w:hAnsi="Verdana"/>
          <w:sz w:val="20"/>
          <w:szCs w:val="20"/>
        </w:rPr>
        <w:t xml:space="preserve"> relevancia es el “carácter </w:t>
      </w:r>
      <w:proofErr w:type="spellStart"/>
      <w:r w:rsidR="008B668B" w:rsidRPr="005A4DF1">
        <w:rPr>
          <w:rFonts w:ascii="Verdana" w:hAnsi="Verdana"/>
          <w:sz w:val="20"/>
          <w:szCs w:val="20"/>
        </w:rPr>
        <w:t>intraurbano</w:t>
      </w:r>
      <w:proofErr w:type="spellEnd"/>
      <w:r w:rsidR="008B668B" w:rsidRPr="005A4DF1">
        <w:rPr>
          <w:rFonts w:ascii="Verdana" w:hAnsi="Verdana"/>
          <w:sz w:val="20"/>
          <w:szCs w:val="20"/>
        </w:rPr>
        <w:t>”</w:t>
      </w:r>
      <w:r w:rsidR="00AA0FFF" w:rsidRPr="005A4DF1">
        <w:rPr>
          <w:rFonts w:ascii="Verdana" w:hAnsi="Verdana"/>
          <w:sz w:val="20"/>
          <w:szCs w:val="20"/>
        </w:rPr>
        <w:t xml:space="preserve"> </w:t>
      </w:r>
      <w:r w:rsidR="008B668B" w:rsidRPr="005A4DF1">
        <w:rPr>
          <w:rFonts w:ascii="Verdana" w:hAnsi="Verdana"/>
          <w:sz w:val="20"/>
          <w:szCs w:val="20"/>
        </w:rPr>
        <w:t xml:space="preserve">en el cual se dio </w:t>
      </w:r>
      <w:r w:rsidRPr="005A4DF1">
        <w:rPr>
          <w:rFonts w:ascii="Verdana" w:hAnsi="Verdana"/>
          <w:sz w:val="20"/>
          <w:szCs w:val="20"/>
        </w:rPr>
        <w:t xml:space="preserve">el </w:t>
      </w:r>
      <w:r w:rsidR="008B668B" w:rsidRPr="005A4DF1">
        <w:rPr>
          <w:rFonts w:ascii="Verdana" w:hAnsi="Verdana"/>
          <w:sz w:val="20"/>
          <w:szCs w:val="20"/>
        </w:rPr>
        <w:t xml:space="preserve">desplazamiento forzado interno, </w:t>
      </w:r>
      <w:r w:rsidR="00354A23" w:rsidRPr="005A4DF1">
        <w:rPr>
          <w:rFonts w:ascii="Verdana" w:hAnsi="Verdana"/>
          <w:sz w:val="20"/>
          <w:szCs w:val="20"/>
        </w:rPr>
        <w:t>ya que pone de</w:t>
      </w:r>
      <w:r w:rsidR="008B668B" w:rsidRPr="005A4DF1">
        <w:rPr>
          <w:rFonts w:ascii="Verdana" w:hAnsi="Verdana"/>
          <w:sz w:val="20"/>
          <w:szCs w:val="20"/>
        </w:rPr>
        <w:t xml:space="preserve"> manifiesto </w:t>
      </w:r>
      <w:r w:rsidR="00F4579F" w:rsidRPr="005A4DF1">
        <w:rPr>
          <w:rFonts w:ascii="Verdana" w:hAnsi="Verdana"/>
          <w:sz w:val="20"/>
          <w:szCs w:val="20"/>
        </w:rPr>
        <w:t>por primera vez este fenómeno en la jurisprudencia interamerican</w:t>
      </w:r>
      <w:r w:rsidR="00F106A0">
        <w:rPr>
          <w:rFonts w:ascii="Verdana" w:hAnsi="Verdana"/>
          <w:sz w:val="20"/>
          <w:szCs w:val="20"/>
        </w:rPr>
        <w:t>a.</w:t>
      </w:r>
    </w:p>
    <w:p w14:paraId="19504762" w14:textId="77777777" w:rsidR="00F4579F" w:rsidRPr="005A4DF1" w:rsidRDefault="00F4579F" w:rsidP="00454C7F">
      <w:pPr>
        <w:pStyle w:val="ListParagraph"/>
        <w:ind w:left="0"/>
        <w:jc w:val="both"/>
        <w:rPr>
          <w:rFonts w:ascii="Verdana" w:hAnsi="Verdana"/>
          <w:sz w:val="20"/>
          <w:szCs w:val="20"/>
        </w:rPr>
      </w:pPr>
    </w:p>
    <w:p w14:paraId="78FDB4FA" w14:textId="3A0ED571" w:rsidR="006E0AAE" w:rsidRPr="005A4DF1" w:rsidRDefault="00354A23" w:rsidP="00454C7F">
      <w:pPr>
        <w:pStyle w:val="ListParagraph"/>
        <w:numPr>
          <w:ilvl w:val="0"/>
          <w:numId w:val="1"/>
        </w:numPr>
        <w:ind w:left="0" w:firstLine="0"/>
        <w:jc w:val="both"/>
        <w:rPr>
          <w:rFonts w:ascii="Verdana" w:hAnsi="Verdana"/>
          <w:sz w:val="20"/>
          <w:szCs w:val="20"/>
        </w:rPr>
      </w:pPr>
      <w:r w:rsidRPr="005A4DF1">
        <w:rPr>
          <w:rFonts w:ascii="Verdana" w:hAnsi="Verdana"/>
          <w:sz w:val="20"/>
          <w:szCs w:val="20"/>
        </w:rPr>
        <w:t xml:space="preserve">Si bien concurro con lo decidido, </w:t>
      </w:r>
      <w:r w:rsidR="008B668B" w:rsidRPr="005A4DF1">
        <w:rPr>
          <w:rFonts w:ascii="Verdana" w:hAnsi="Verdana"/>
          <w:sz w:val="20"/>
          <w:szCs w:val="20"/>
        </w:rPr>
        <w:t>e</w:t>
      </w:r>
      <w:r w:rsidR="003D75D5" w:rsidRPr="005A4DF1">
        <w:rPr>
          <w:rFonts w:ascii="Verdana" w:hAnsi="Verdana"/>
          <w:sz w:val="20"/>
          <w:szCs w:val="20"/>
        </w:rPr>
        <w:t xml:space="preserve">mito el presente voto para fundamentar los </w:t>
      </w:r>
      <w:r w:rsidR="0049501C" w:rsidRPr="005A4DF1">
        <w:rPr>
          <w:rFonts w:ascii="Verdana" w:hAnsi="Verdana"/>
          <w:sz w:val="20"/>
          <w:szCs w:val="20"/>
        </w:rPr>
        <w:t>motivos por los cuales considero</w:t>
      </w:r>
      <w:r w:rsidR="003D75D5" w:rsidRPr="005A4DF1">
        <w:rPr>
          <w:rFonts w:ascii="Verdana" w:hAnsi="Verdana"/>
          <w:sz w:val="20"/>
          <w:szCs w:val="20"/>
        </w:rPr>
        <w:t xml:space="preserve"> que la decisión adoptada por la Corte Interamericana de </w:t>
      </w:r>
      <w:r w:rsidRPr="005A4DF1">
        <w:rPr>
          <w:rFonts w:ascii="Verdana" w:hAnsi="Verdana"/>
          <w:sz w:val="20"/>
          <w:szCs w:val="20"/>
        </w:rPr>
        <w:t>Derechos Humanos (en adelante “Corte IDH” o “Tribunal</w:t>
      </w:r>
      <w:r w:rsidR="003D75D5" w:rsidRPr="005A4DF1">
        <w:rPr>
          <w:rFonts w:ascii="Verdana" w:hAnsi="Verdana"/>
          <w:sz w:val="20"/>
          <w:szCs w:val="20"/>
        </w:rPr>
        <w:t xml:space="preserve"> Interamerican</w:t>
      </w:r>
      <w:r w:rsidRPr="005A4DF1">
        <w:rPr>
          <w:rFonts w:ascii="Verdana" w:hAnsi="Verdana"/>
          <w:sz w:val="20"/>
          <w:szCs w:val="20"/>
        </w:rPr>
        <w:t>o</w:t>
      </w:r>
      <w:r w:rsidR="008B668B" w:rsidRPr="005A4DF1">
        <w:rPr>
          <w:rFonts w:ascii="Verdana" w:hAnsi="Verdana"/>
          <w:sz w:val="20"/>
          <w:szCs w:val="20"/>
        </w:rPr>
        <w:t>”</w:t>
      </w:r>
      <w:r w:rsidRPr="005A4DF1">
        <w:rPr>
          <w:rFonts w:ascii="Verdana" w:hAnsi="Verdana"/>
          <w:sz w:val="20"/>
          <w:szCs w:val="20"/>
        </w:rPr>
        <w:t>)</w:t>
      </w:r>
      <w:r w:rsidR="003D75D5" w:rsidRPr="005A4DF1">
        <w:rPr>
          <w:rFonts w:ascii="Verdana" w:hAnsi="Verdana"/>
          <w:sz w:val="20"/>
          <w:szCs w:val="20"/>
        </w:rPr>
        <w:t xml:space="preserve"> </w:t>
      </w:r>
      <w:r w:rsidR="00130205" w:rsidRPr="005A4DF1">
        <w:rPr>
          <w:rFonts w:ascii="Verdana" w:hAnsi="Verdana"/>
          <w:sz w:val="20"/>
          <w:szCs w:val="20"/>
        </w:rPr>
        <w:t>pudo haber comprendido una interpretación evolutiva</w:t>
      </w:r>
      <w:r w:rsidR="00843DEC">
        <w:rPr>
          <w:rFonts w:ascii="Verdana" w:hAnsi="Verdana"/>
          <w:sz w:val="20"/>
          <w:szCs w:val="20"/>
        </w:rPr>
        <w:t xml:space="preserve"> y dinámica del artículo 26 </w:t>
      </w:r>
      <w:r w:rsidR="00843DEC" w:rsidRPr="008A6A34">
        <w:rPr>
          <w:rFonts w:ascii="Verdana" w:hAnsi="Verdana"/>
          <w:sz w:val="20"/>
          <w:szCs w:val="20"/>
        </w:rPr>
        <w:t xml:space="preserve">de la Convención Americana sobre Derechos Humanos (en adelante la “Convención Americana” o “el </w:t>
      </w:r>
      <w:r w:rsidR="00130205" w:rsidRPr="008A6A34">
        <w:rPr>
          <w:rFonts w:ascii="Verdana" w:hAnsi="Verdana"/>
          <w:sz w:val="20"/>
          <w:szCs w:val="20"/>
        </w:rPr>
        <w:t>Pacto de San José</w:t>
      </w:r>
      <w:r w:rsidR="00843DEC" w:rsidRPr="008A6A34">
        <w:rPr>
          <w:rFonts w:ascii="Verdana" w:hAnsi="Verdana"/>
          <w:sz w:val="20"/>
          <w:szCs w:val="20"/>
        </w:rPr>
        <w:t>”)</w:t>
      </w:r>
      <w:r w:rsidR="00130205" w:rsidRPr="008A6A34">
        <w:rPr>
          <w:rFonts w:ascii="Verdana" w:hAnsi="Verdana"/>
          <w:sz w:val="20"/>
          <w:szCs w:val="20"/>
        </w:rPr>
        <w:t>;</w:t>
      </w:r>
      <w:r w:rsidR="00130205" w:rsidRPr="005A4DF1">
        <w:rPr>
          <w:rFonts w:ascii="Verdana" w:hAnsi="Verdana"/>
          <w:sz w:val="20"/>
          <w:szCs w:val="20"/>
        </w:rPr>
        <w:t xml:space="preserve"> lo que hubiera permitido </w:t>
      </w:r>
      <w:r w:rsidR="008B668B" w:rsidRPr="005A4DF1">
        <w:rPr>
          <w:rFonts w:ascii="Verdana" w:hAnsi="Verdana"/>
          <w:sz w:val="20"/>
          <w:szCs w:val="20"/>
        </w:rPr>
        <w:t xml:space="preserve">visualizar un tema que </w:t>
      </w:r>
      <w:r w:rsidRPr="005A4DF1">
        <w:rPr>
          <w:rFonts w:ascii="Verdana" w:hAnsi="Verdana"/>
          <w:sz w:val="20"/>
          <w:szCs w:val="20"/>
        </w:rPr>
        <w:t xml:space="preserve">de alguna forma </w:t>
      </w:r>
      <w:r w:rsidR="008B668B" w:rsidRPr="005A4DF1">
        <w:rPr>
          <w:rFonts w:ascii="Verdana" w:hAnsi="Verdana"/>
          <w:sz w:val="20"/>
          <w:szCs w:val="20"/>
        </w:rPr>
        <w:t>ha sido ignorado dentro del Sistema Interamericano de Derechos Humanos</w:t>
      </w:r>
      <w:r w:rsidR="00843DEC">
        <w:rPr>
          <w:rFonts w:ascii="Verdana" w:hAnsi="Verdana"/>
          <w:sz w:val="20"/>
          <w:szCs w:val="20"/>
        </w:rPr>
        <w:t xml:space="preserve"> </w:t>
      </w:r>
      <w:r w:rsidR="00843DEC" w:rsidRPr="008A6A34">
        <w:rPr>
          <w:rFonts w:ascii="Verdana" w:hAnsi="Verdana"/>
          <w:sz w:val="20"/>
          <w:szCs w:val="20"/>
        </w:rPr>
        <w:t>(en adelante “el Sistema Interamericano”)</w:t>
      </w:r>
      <w:r w:rsidR="008B668B" w:rsidRPr="008A6A34">
        <w:rPr>
          <w:rFonts w:ascii="Verdana" w:hAnsi="Verdana"/>
          <w:sz w:val="20"/>
          <w:szCs w:val="20"/>
        </w:rPr>
        <w:t>:</w:t>
      </w:r>
      <w:r w:rsidR="008B668B" w:rsidRPr="005A4DF1">
        <w:rPr>
          <w:rFonts w:ascii="Verdana" w:hAnsi="Verdana"/>
          <w:sz w:val="20"/>
          <w:szCs w:val="20"/>
        </w:rPr>
        <w:t xml:space="preserve"> </w:t>
      </w:r>
      <w:r w:rsidR="008B668B" w:rsidRPr="005A4DF1">
        <w:rPr>
          <w:rFonts w:ascii="Verdana" w:hAnsi="Verdana"/>
          <w:i/>
          <w:sz w:val="20"/>
          <w:szCs w:val="20"/>
        </w:rPr>
        <w:t>el derecho a la v</w:t>
      </w:r>
      <w:r w:rsidR="0044226C" w:rsidRPr="005A4DF1">
        <w:rPr>
          <w:rFonts w:ascii="Verdana" w:hAnsi="Verdana"/>
          <w:i/>
          <w:sz w:val="20"/>
          <w:szCs w:val="20"/>
        </w:rPr>
        <w:t>ivienda</w:t>
      </w:r>
      <w:r w:rsidR="00130205" w:rsidRPr="005A4DF1">
        <w:rPr>
          <w:rFonts w:ascii="Verdana" w:hAnsi="Verdana"/>
          <w:sz w:val="20"/>
          <w:szCs w:val="20"/>
        </w:rPr>
        <w:t>.</w:t>
      </w:r>
    </w:p>
    <w:p w14:paraId="0FD90CE6" w14:textId="77777777" w:rsidR="006E0AAE" w:rsidRPr="005A4DF1" w:rsidRDefault="006E0AAE" w:rsidP="00454C7F">
      <w:pPr>
        <w:jc w:val="both"/>
        <w:rPr>
          <w:rFonts w:ascii="Verdana" w:hAnsi="Verdana"/>
          <w:sz w:val="20"/>
          <w:szCs w:val="20"/>
        </w:rPr>
      </w:pPr>
    </w:p>
    <w:p w14:paraId="57365560" w14:textId="513CC2F9" w:rsidR="00F22CCD" w:rsidRPr="005A4DF1" w:rsidRDefault="0044226C" w:rsidP="00454C7F">
      <w:pPr>
        <w:pStyle w:val="ListParagraph"/>
        <w:numPr>
          <w:ilvl w:val="0"/>
          <w:numId w:val="1"/>
        </w:numPr>
        <w:ind w:left="0" w:firstLine="0"/>
        <w:jc w:val="both"/>
        <w:rPr>
          <w:rFonts w:ascii="Verdana" w:hAnsi="Verdana"/>
          <w:sz w:val="20"/>
          <w:szCs w:val="20"/>
        </w:rPr>
      </w:pPr>
      <w:r w:rsidRPr="005A4DF1">
        <w:rPr>
          <w:rFonts w:ascii="Verdana" w:hAnsi="Verdana"/>
          <w:sz w:val="20"/>
          <w:szCs w:val="20"/>
        </w:rPr>
        <w:t xml:space="preserve">En el </w:t>
      </w:r>
      <w:r w:rsidR="00354A23" w:rsidRPr="005A4DF1">
        <w:rPr>
          <w:rFonts w:ascii="Verdana" w:hAnsi="Verdana"/>
          <w:sz w:val="20"/>
          <w:szCs w:val="20"/>
        </w:rPr>
        <w:t>caso</w:t>
      </w:r>
      <w:r w:rsidR="00AA0FFF" w:rsidRPr="005A4DF1">
        <w:rPr>
          <w:rFonts w:ascii="Verdana" w:hAnsi="Verdana"/>
          <w:sz w:val="20"/>
          <w:szCs w:val="20"/>
        </w:rPr>
        <w:t>,</w:t>
      </w:r>
      <w:r w:rsidRPr="005A4DF1">
        <w:rPr>
          <w:rFonts w:ascii="Verdana" w:hAnsi="Verdana"/>
          <w:sz w:val="20"/>
          <w:szCs w:val="20"/>
        </w:rPr>
        <w:t xml:space="preserve"> dos de las</w:t>
      </w:r>
      <w:r w:rsidR="008B668B" w:rsidRPr="005A4DF1">
        <w:rPr>
          <w:rFonts w:ascii="Verdana" w:hAnsi="Verdana"/>
          <w:sz w:val="20"/>
          <w:szCs w:val="20"/>
        </w:rPr>
        <w:t xml:space="preserve"> víctimas</w:t>
      </w:r>
      <w:r w:rsidR="007A3B5E" w:rsidRPr="005A4DF1">
        <w:rPr>
          <w:rFonts w:ascii="Verdana" w:hAnsi="Verdana"/>
          <w:sz w:val="20"/>
          <w:szCs w:val="20"/>
        </w:rPr>
        <w:t xml:space="preserve"> </w:t>
      </w:r>
      <w:r w:rsidR="00354A23" w:rsidRPr="005A4DF1">
        <w:rPr>
          <w:rFonts w:ascii="Verdana" w:hAnsi="Verdana"/>
          <w:sz w:val="20"/>
          <w:szCs w:val="20"/>
        </w:rPr>
        <w:t>—</w:t>
      </w:r>
      <w:r w:rsidR="00EE3D6D" w:rsidRPr="005A4DF1">
        <w:rPr>
          <w:rFonts w:ascii="Verdana" w:hAnsi="Verdana"/>
          <w:sz w:val="20"/>
          <w:szCs w:val="20"/>
        </w:rPr>
        <w:t>con motivo</w:t>
      </w:r>
      <w:r w:rsidR="008B668B" w:rsidRPr="005A4DF1">
        <w:rPr>
          <w:rFonts w:ascii="Verdana" w:hAnsi="Verdana"/>
          <w:sz w:val="20"/>
          <w:szCs w:val="20"/>
        </w:rPr>
        <w:t xml:space="preserve"> de su labor como defensoras de derechos humanos y d</w:t>
      </w:r>
      <w:r w:rsidRPr="005A4DF1">
        <w:rPr>
          <w:rFonts w:ascii="Verdana" w:hAnsi="Verdana"/>
          <w:sz w:val="20"/>
          <w:szCs w:val="20"/>
        </w:rPr>
        <w:t xml:space="preserve">e su desplazamiento </w:t>
      </w:r>
      <w:r w:rsidR="00EA2E95" w:rsidRPr="005A4DF1">
        <w:rPr>
          <w:rFonts w:ascii="Verdana" w:hAnsi="Verdana"/>
          <w:sz w:val="20"/>
          <w:szCs w:val="20"/>
        </w:rPr>
        <w:t xml:space="preserve">forzado </w:t>
      </w:r>
      <w:proofErr w:type="spellStart"/>
      <w:r w:rsidRPr="005A4DF1">
        <w:rPr>
          <w:rFonts w:ascii="Verdana" w:hAnsi="Verdana"/>
          <w:sz w:val="20"/>
          <w:szCs w:val="20"/>
        </w:rPr>
        <w:t>intraurbano</w:t>
      </w:r>
      <w:proofErr w:type="spellEnd"/>
      <w:r w:rsidR="00354A23" w:rsidRPr="005A4DF1">
        <w:rPr>
          <w:rFonts w:ascii="Verdana" w:hAnsi="Verdana"/>
          <w:sz w:val="20"/>
          <w:szCs w:val="20"/>
        </w:rPr>
        <w:t>—</w:t>
      </w:r>
      <w:r w:rsidRPr="005A4DF1">
        <w:rPr>
          <w:rFonts w:ascii="Verdana" w:hAnsi="Verdana"/>
          <w:sz w:val="20"/>
          <w:szCs w:val="20"/>
        </w:rPr>
        <w:t xml:space="preserve">, </w:t>
      </w:r>
      <w:r w:rsidR="008B668B" w:rsidRPr="005A4DF1">
        <w:rPr>
          <w:rFonts w:ascii="Verdana" w:hAnsi="Verdana"/>
          <w:sz w:val="20"/>
          <w:szCs w:val="20"/>
        </w:rPr>
        <w:t>tuvieron que dejar sus viviendas</w:t>
      </w:r>
      <w:r w:rsidR="00A73E26">
        <w:rPr>
          <w:rFonts w:ascii="Verdana" w:hAnsi="Verdana"/>
          <w:sz w:val="20"/>
          <w:szCs w:val="20"/>
        </w:rPr>
        <w:t xml:space="preserve"> (junto con sus familiares)</w:t>
      </w:r>
      <w:r w:rsidR="00B06773" w:rsidRPr="005A4DF1">
        <w:rPr>
          <w:rFonts w:ascii="Verdana" w:hAnsi="Verdana"/>
          <w:sz w:val="20"/>
          <w:szCs w:val="20"/>
        </w:rPr>
        <w:t xml:space="preserve">, </w:t>
      </w:r>
      <w:r w:rsidR="00354A23" w:rsidRPr="005A4DF1">
        <w:rPr>
          <w:rFonts w:ascii="Verdana" w:hAnsi="Verdana"/>
          <w:sz w:val="20"/>
          <w:szCs w:val="20"/>
        </w:rPr>
        <w:t>las que</w:t>
      </w:r>
      <w:r w:rsidRPr="005A4DF1">
        <w:rPr>
          <w:rFonts w:ascii="Verdana" w:hAnsi="Verdana"/>
          <w:sz w:val="20"/>
          <w:szCs w:val="20"/>
        </w:rPr>
        <w:t xml:space="preserve"> posteriormente fueron </w:t>
      </w:r>
      <w:r w:rsidR="008B668B" w:rsidRPr="005A4DF1">
        <w:rPr>
          <w:rFonts w:ascii="Verdana" w:hAnsi="Verdana"/>
          <w:sz w:val="20"/>
          <w:szCs w:val="20"/>
        </w:rPr>
        <w:t>destruidas</w:t>
      </w:r>
      <w:r w:rsidR="00B06773" w:rsidRPr="005A4DF1">
        <w:rPr>
          <w:rFonts w:ascii="Verdana" w:hAnsi="Verdana"/>
          <w:sz w:val="20"/>
          <w:szCs w:val="20"/>
        </w:rPr>
        <w:t xml:space="preserve"> como producto de la violencia</w:t>
      </w:r>
      <w:r w:rsidRPr="005A4DF1">
        <w:rPr>
          <w:rFonts w:ascii="Verdana" w:hAnsi="Verdana"/>
          <w:sz w:val="20"/>
          <w:szCs w:val="20"/>
        </w:rPr>
        <w:t xml:space="preserve"> que en m</w:t>
      </w:r>
      <w:r w:rsidR="00D17FA9" w:rsidRPr="005A4DF1">
        <w:rPr>
          <w:rFonts w:ascii="Verdana" w:hAnsi="Verdana"/>
          <w:sz w:val="20"/>
          <w:szCs w:val="20"/>
        </w:rPr>
        <w:t>uchas ocasiones</w:t>
      </w:r>
      <w:r w:rsidR="008B668B" w:rsidRPr="005A4DF1">
        <w:rPr>
          <w:rFonts w:ascii="Verdana" w:hAnsi="Verdana"/>
          <w:sz w:val="20"/>
          <w:szCs w:val="20"/>
        </w:rPr>
        <w:t xml:space="preserve"> </w:t>
      </w:r>
      <w:r w:rsidR="009873AF" w:rsidRPr="005A4DF1">
        <w:rPr>
          <w:rFonts w:ascii="Verdana" w:hAnsi="Verdana"/>
          <w:sz w:val="20"/>
          <w:szCs w:val="20"/>
        </w:rPr>
        <w:t>se presentaba</w:t>
      </w:r>
      <w:r w:rsidR="008B668B" w:rsidRPr="005A4DF1">
        <w:rPr>
          <w:rFonts w:ascii="Verdana" w:hAnsi="Verdana"/>
          <w:sz w:val="20"/>
          <w:szCs w:val="20"/>
        </w:rPr>
        <w:t xml:space="preserve"> como un medio de amedrentamiento. </w:t>
      </w:r>
    </w:p>
    <w:p w14:paraId="00BDA2E4" w14:textId="77777777" w:rsidR="00F22CCD" w:rsidRPr="005A4DF1" w:rsidRDefault="00F22CCD" w:rsidP="00454C7F">
      <w:pPr>
        <w:jc w:val="both"/>
        <w:rPr>
          <w:rFonts w:ascii="Verdana" w:hAnsi="Verdana"/>
          <w:sz w:val="20"/>
          <w:szCs w:val="20"/>
        </w:rPr>
      </w:pPr>
    </w:p>
    <w:p w14:paraId="4078EC41" w14:textId="69B683DC" w:rsidR="008F1973" w:rsidRDefault="008F1973" w:rsidP="00454C7F">
      <w:pPr>
        <w:pStyle w:val="ListParagraph"/>
        <w:numPr>
          <w:ilvl w:val="0"/>
          <w:numId w:val="1"/>
        </w:numPr>
        <w:ind w:left="0" w:firstLine="0"/>
        <w:jc w:val="both"/>
        <w:rPr>
          <w:rFonts w:ascii="Verdana" w:hAnsi="Verdana"/>
          <w:sz w:val="20"/>
          <w:szCs w:val="20"/>
        </w:rPr>
      </w:pPr>
      <w:r w:rsidRPr="00197667">
        <w:rPr>
          <w:rFonts w:ascii="Verdana" w:hAnsi="Verdana"/>
          <w:sz w:val="20"/>
          <w:szCs w:val="20"/>
        </w:rPr>
        <w:t>En la Sentencia</w:t>
      </w:r>
      <w:r w:rsidR="005F529A" w:rsidRPr="00197667">
        <w:rPr>
          <w:rFonts w:ascii="Verdana" w:hAnsi="Verdana"/>
          <w:sz w:val="20"/>
          <w:szCs w:val="20"/>
        </w:rPr>
        <w:t>, la Corte IDH</w:t>
      </w:r>
      <w:r w:rsidRPr="00197667">
        <w:rPr>
          <w:rFonts w:ascii="Verdana" w:hAnsi="Verdana"/>
          <w:sz w:val="20"/>
          <w:szCs w:val="20"/>
        </w:rPr>
        <w:t xml:space="preserve"> </w:t>
      </w:r>
      <w:r w:rsidR="006E0AAE" w:rsidRPr="00197667">
        <w:rPr>
          <w:rFonts w:ascii="Verdana" w:hAnsi="Verdana"/>
          <w:sz w:val="20"/>
          <w:szCs w:val="20"/>
        </w:rPr>
        <w:t>tuvo por probado</w:t>
      </w:r>
      <w:r w:rsidRPr="00197667">
        <w:rPr>
          <w:rFonts w:ascii="Verdana" w:hAnsi="Verdana"/>
          <w:sz w:val="20"/>
          <w:szCs w:val="20"/>
        </w:rPr>
        <w:t xml:space="preserve"> que luego del abandono de las casas </w:t>
      </w:r>
      <w:r w:rsidR="00354A23" w:rsidRPr="00197667">
        <w:rPr>
          <w:rFonts w:ascii="Verdana" w:hAnsi="Verdana"/>
          <w:sz w:val="20"/>
          <w:szCs w:val="20"/>
        </w:rPr>
        <w:t>habitación de</w:t>
      </w:r>
      <w:r w:rsidRPr="00197667">
        <w:rPr>
          <w:rFonts w:ascii="Verdana" w:hAnsi="Verdana"/>
          <w:sz w:val="20"/>
          <w:szCs w:val="20"/>
        </w:rPr>
        <w:t xml:space="preserve"> las señoras Rúa y Ospina</w:t>
      </w:r>
      <w:r w:rsidR="00AA0FFF" w:rsidRPr="00197667">
        <w:rPr>
          <w:rFonts w:ascii="Verdana" w:hAnsi="Verdana"/>
          <w:sz w:val="20"/>
          <w:szCs w:val="20"/>
        </w:rPr>
        <w:t>,</w:t>
      </w:r>
      <w:r w:rsidRPr="00197667">
        <w:rPr>
          <w:rFonts w:ascii="Verdana" w:hAnsi="Verdana"/>
          <w:sz w:val="20"/>
          <w:szCs w:val="20"/>
        </w:rPr>
        <w:t xml:space="preserve"> y sus familiares, las mismas progresivamente fueron desmantelas hasta quedar en ruinas y saqueadas por parte de terceros</w:t>
      </w:r>
      <w:r w:rsidR="00354A23" w:rsidRPr="00197667">
        <w:rPr>
          <w:rFonts w:ascii="Verdana" w:hAnsi="Verdana"/>
          <w:sz w:val="20"/>
          <w:szCs w:val="20"/>
        </w:rPr>
        <w:t>;</w:t>
      </w:r>
      <w:r w:rsidRPr="00197667">
        <w:rPr>
          <w:rFonts w:ascii="Verdana" w:hAnsi="Verdana"/>
          <w:sz w:val="20"/>
          <w:szCs w:val="20"/>
        </w:rPr>
        <w:t xml:space="preserve"> y que después </w:t>
      </w:r>
      <w:r w:rsidR="00354A23" w:rsidRPr="00197667">
        <w:rPr>
          <w:rFonts w:ascii="Verdana" w:hAnsi="Verdana"/>
          <w:sz w:val="20"/>
          <w:szCs w:val="20"/>
        </w:rPr>
        <w:t>de las denuncias que se habían presentado</w:t>
      </w:r>
      <w:r w:rsidRPr="00197667">
        <w:rPr>
          <w:rFonts w:ascii="Verdana" w:hAnsi="Verdana"/>
          <w:sz w:val="20"/>
          <w:szCs w:val="20"/>
        </w:rPr>
        <w:t>,</w:t>
      </w:r>
      <w:r w:rsidR="0054398A" w:rsidRPr="00197667">
        <w:rPr>
          <w:rFonts w:ascii="Verdana" w:hAnsi="Verdana"/>
          <w:sz w:val="20"/>
          <w:szCs w:val="20"/>
        </w:rPr>
        <w:t xml:space="preserve"> </w:t>
      </w:r>
      <w:r w:rsidRPr="00197667">
        <w:rPr>
          <w:rFonts w:ascii="Verdana" w:hAnsi="Verdana"/>
          <w:sz w:val="20"/>
          <w:szCs w:val="20"/>
        </w:rPr>
        <w:t xml:space="preserve">el Estado no </w:t>
      </w:r>
      <w:r w:rsidR="00AA0FFF" w:rsidRPr="00197667">
        <w:rPr>
          <w:rFonts w:ascii="Verdana" w:hAnsi="Verdana"/>
          <w:sz w:val="20"/>
          <w:szCs w:val="20"/>
        </w:rPr>
        <w:t xml:space="preserve">había </w:t>
      </w:r>
      <w:r w:rsidRPr="00197667">
        <w:rPr>
          <w:rFonts w:ascii="Verdana" w:hAnsi="Verdana"/>
          <w:sz w:val="20"/>
          <w:szCs w:val="20"/>
        </w:rPr>
        <w:t>adopt</w:t>
      </w:r>
      <w:r w:rsidR="00AA0FFF" w:rsidRPr="00197667">
        <w:rPr>
          <w:rFonts w:ascii="Verdana" w:hAnsi="Verdana"/>
          <w:sz w:val="20"/>
          <w:szCs w:val="20"/>
        </w:rPr>
        <w:t>ado</w:t>
      </w:r>
      <w:r w:rsidRPr="00197667">
        <w:rPr>
          <w:rFonts w:ascii="Verdana" w:hAnsi="Verdana"/>
          <w:sz w:val="20"/>
          <w:szCs w:val="20"/>
        </w:rPr>
        <w:t xml:space="preserve"> medidas necesarias para proteger</w:t>
      </w:r>
      <w:r w:rsidR="00913997" w:rsidRPr="00197667">
        <w:rPr>
          <w:rFonts w:ascii="Verdana" w:hAnsi="Verdana"/>
          <w:sz w:val="20"/>
          <w:szCs w:val="20"/>
        </w:rPr>
        <w:t xml:space="preserve"> </w:t>
      </w:r>
      <w:r w:rsidRPr="00197667">
        <w:rPr>
          <w:rFonts w:ascii="Verdana" w:hAnsi="Verdana"/>
          <w:sz w:val="20"/>
          <w:szCs w:val="20"/>
        </w:rPr>
        <w:t>los bienes de las presuntas víctimas</w:t>
      </w:r>
      <w:r w:rsidR="00354A23" w:rsidRPr="00197667">
        <w:rPr>
          <w:rFonts w:ascii="Verdana" w:hAnsi="Verdana"/>
          <w:sz w:val="20"/>
          <w:szCs w:val="20"/>
        </w:rPr>
        <w:t>,</w:t>
      </w:r>
      <w:r w:rsidRPr="00197667">
        <w:rPr>
          <w:rFonts w:ascii="Verdana" w:hAnsi="Verdana"/>
          <w:sz w:val="20"/>
          <w:szCs w:val="20"/>
        </w:rPr>
        <w:t xml:space="preserve"> ni les facilitó mecanismos para la obtención de una </w:t>
      </w:r>
      <w:r w:rsidR="00881664" w:rsidRPr="00197667">
        <w:rPr>
          <w:rFonts w:ascii="Verdana" w:hAnsi="Verdana"/>
          <w:sz w:val="20"/>
          <w:szCs w:val="20"/>
        </w:rPr>
        <w:t>“</w:t>
      </w:r>
      <w:r w:rsidRPr="00197667">
        <w:rPr>
          <w:rFonts w:ascii="Verdana" w:hAnsi="Verdana"/>
          <w:sz w:val="20"/>
          <w:szCs w:val="20"/>
        </w:rPr>
        <w:t>vivienda adecuada</w:t>
      </w:r>
      <w:r w:rsidR="00881664" w:rsidRPr="00197667">
        <w:rPr>
          <w:rFonts w:ascii="Verdana" w:hAnsi="Verdana"/>
          <w:sz w:val="20"/>
          <w:szCs w:val="20"/>
        </w:rPr>
        <w:t>”</w:t>
      </w:r>
      <w:r w:rsidRPr="005A4DF1">
        <w:rPr>
          <w:rStyle w:val="FootnoteReference"/>
          <w:rFonts w:ascii="Verdana" w:hAnsi="Verdana"/>
          <w:sz w:val="20"/>
          <w:szCs w:val="20"/>
        </w:rPr>
        <w:footnoteReference w:id="1"/>
      </w:r>
      <w:r w:rsidR="002B5098" w:rsidRPr="00197667">
        <w:rPr>
          <w:rFonts w:ascii="Verdana" w:hAnsi="Verdana"/>
          <w:sz w:val="20"/>
          <w:szCs w:val="20"/>
        </w:rPr>
        <w:t>,</w:t>
      </w:r>
      <w:r w:rsidR="00CF5601">
        <w:rPr>
          <w:rFonts w:ascii="Verdana" w:hAnsi="Verdana"/>
          <w:sz w:val="20"/>
          <w:szCs w:val="20"/>
        </w:rPr>
        <w:t xml:space="preserve"> </w:t>
      </w:r>
      <w:r w:rsidR="00F4579F" w:rsidRPr="00197667">
        <w:rPr>
          <w:rFonts w:ascii="Verdana" w:hAnsi="Verdana"/>
          <w:sz w:val="20"/>
          <w:szCs w:val="20"/>
        </w:rPr>
        <w:t xml:space="preserve">declarando la </w:t>
      </w:r>
      <w:r w:rsidR="00F4579F" w:rsidRPr="00197667">
        <w:rPr>
          <w:rFonts w:ascii="Verdana" w:hAnsi="Verdana"/>
          <w:sz w:val="20"/>
          <w:szCs w:val="20"/>
        </w:rPr>
        <w:lastRenderedPageBreak/>
        <w:t>violación del derecho a la propiedad</w:t>
      </w:r>
      <w:r w:rsidR="000E72D3" w:rsidRPr="005A4DF1">
        <w:rPr>
          <w:rStyle w:val="FootnoteReference"/>
          <w:rFonts w:ascii="Verdana" w:hAnsi="Verdana"/>
          <w:sz w:val="20"/>
          <w:szCs w:val="20"/>
        </w:rPr>
        <w:footnoteReference w:id="2"/>
      </w:r>
      <w:r w:rsidR="002B5098" w:rsidRPr="00197667">
        <w:rPr>
          <w:rFonts w:ascii="Verdana" w:hAnsi="Verdana"/>
          <w:sz w:val="20"/>
          <w:szCs w:val="20"/>
        </w:rPr>
        <w:t xml:space="preserve">. Un aspecto a destacar es la consideración de la afectación de sus viviendas </w:t>
      </w:r>
      <w:r w:rsidR="00F22CCD" w:rsidRPr="00197667">
        <w:rPr>
          <w:rFonts w:ascii="Verdana" w:hAnsi="Verdana"/>
          <w:sz w:val="20"/>
          <w:szCs w:val="20"/>
        </w:rPr>
        <w:t>para efectos de las</w:t>
      </w:r>
      <w:r w:rsidR="002B5098" w:rsidRPr="00197667">
        <w:rPr>
          <w:rFonts w:ascii="Verdana" w:hAnsi="Verdana"/>
          <w:sz w:val="20"/>
          <w:szCs w:val="20"/>
        </w:rPr>
        <w:t xml:space="preserve"> reparaciones ordenadas por la Corte</w:t>
      </w:r>
      <w:r w:rsidR="00EA2E95" w:rsidRPr="00197667">
        <w:rPr>
          <w:rFonts w:ascii="Verdana" w:hAnsi="Verdana"/>
          <w:sz w:val="20"/>
          <w:szCs w:val="20"/>
        </w:rPr>
        <w:t xml:space="preserve"> IDH</w:t>
      </w:r>
      <w:r w:rsidR="00EE3D6D" w:rsidRPr="005A4DF1">
        <w:rPr>
          <w:rStyle w:val="FootnoteReference"/>
          <w:rFonts w:ascii="Verdana" w:hAnsi="Verdana"/>
          <w:sz w:val="20"/>
          <w:szCs w:val="20"/>
        </w:rPr>
        <w:footnoteReference w:id="3"/>
      </w:r>
      <w:r w:rsidR="002B5098" w:rsidRPr="00197667">
        <w:rPr>
          <w:rFonts w:ascii="Verdana" w:hAnsi="Verdana"/>
          <w:sz w:val="20"/>
          <w:szCs w:val="20"/>
        </w:rPr>
        <w:t xml:space="preserve">, lo que permite una diferenciación entre el </w:t>
      </w:r>
      <w:r w:rsidR="002B5098" w:rsidRPr="00197667">
        <w:rPr>
          <w:rFonts w:ascii="Verdana" w:hAnsi="Verdana"/>
          <w:i/>
          <w:sz w:val="20"/>
          <w:szCs w:val="20"/>
        </w:rPr>
        <w:t>derecho a la propiedad</w:t>
      </w:r>
      <w:r w:rsidR="00F22CCD" w:rsidRPr="00197667">
        <w:rPr>
          <w:rFonts w:ascii="Verdana" w:hAnsi="Verdana"/>
          <w:sz w:val="20"/>
          <w:szCs w:val="20"/>
        </w:rPr>
        <w:t xml:space="preserve">, </w:t>
      </w:r>
      <w:r w:rsidR="00EA2E95" w:rsidRPr="00197667">
        <w:rPr>
          <w:rFonts w:ascii="Verdana" w:hAnsi="Verdana"/>
          <w:sz w:val="20"/>
          <w:szCs w:val="20"/>
        </w:rPr>
        <w:t xml:space="preserve">respecto </w:t>
      </w:r>
      <w:r w:rsidR="00F22CCD" w:rsidRPr="00197667">
        <w:rPr>
          <w:rFonts w:ascii="Verdana" w:hAnsi="Verdana"/>
          <w:sz w:val="20"/>
          <w:szCs w:val="20"/>
        </w:rPr>
        <w:t>de la</w:t>
      </w:r>
      <w:r w:rsidR="002B5098" w:rsidRPr="00197667">
        <w:rPr>
          <w:rFonts w:ascii="Verdana" w:hAnsi="Verdana"/>
          <w:sz w:val="20"/>
          <w:szCs w:val="20"/>
        </w:rPr>
        <w:t xml:space="preserve"> afectación </w:t>
      </w:r>
      <w:r w:rsidR="002B5098" w:rsidRPr="00197667">
        <w:rPr>
          <w:rFonts w:ascii="Verdana" w:hAnsi="Verdana"/>
          <w:i/>
          <w:sz w:val="20"/>
          <w:szCs w:val="20"/>
        </w:rPr>
        <w:t>del derecho a la vivienda</w:t>
      </w:r>
      <w:r w:rsidR="002B5098" w:rsidRPr="00197667">
        <w:rPr>
          <w:rFonts w:ascii="Verdana" w:hAnsi="Verdana"/>
          <w:sz w:val="20"/>
          <w:szCs w:val="20"/>
        </w:rPr>
        <w:t xml:space="preserve"> </w:t>
      </w:r>
      <w:r w:rsidR="00197667">
        <w:rPr>
          <w:rFonts w:ascii="Verdana" w:hAnsi="Verdana"/>
          <w:sz w:val="20"/>
          <w:szCs w:val="20"/>
        </w:rPr>
        <w:t>en el presente caso, como se expondrá más adelante.</w:t>
      </w:r>
    </w:p>
    <w:p w14:paraId="50733CB0" w14:textId="77777777" w:rsidR="00197667" w:rsidRPr="00197667" w:rsidRDefault="00197667" w:rsidP="00197667">
      <w:pPr>
        <w:pStyle w:val="ListParagraph"/>
        <w:ind w:left="0"/>
        <w:jc w:val="both"/>
        <w:rPr>
          <w:rFonts w:ascii="Verdana" w:hAnsi="Verdana"/>
          <w:sz w:val="20"/>
          <w:szCs w:val="20"/>
        </w:rPr>
      </w:pPr>
    </w:p>
    <w:p w14:paraId="08E0F776" w14:textId="0211DCA6" w:rsidR="00913997" w:rsidRPr="005A4DF1" w:rsidRDefault="00037A64" w:rsidP="00454C7F">
      <w:pPr>
        <w:pStyle w:val="ListParagraph"/>
        <w:numPr>
          <w:ilvl w:val="0"/>
          <w:numId w:val="1"/>
        </w:numPr>
        <w:ind w:left="0" w:firstLine="0"/>
        <w:jc w:val="both"/>
        <w:rPr>
          <w:rFonts w:ascii="Verdana" w:hAnsi="Verdana"/>
          <w:sz w:val="20"/>
          <w:szCs w:val="20"/>
        </w:rPr>
      </w:pPr>
      <w:r w:rsidRPr="005A4DF1">
        <w:rPr>
          <w:rFonts w:ascii="Verdana" w:hAnsi="Verdana"/>
          <w:sz w:val="20"/>
          <w:szCs w:val="20"/>
        </w:rPr>
        <w:t xml:space="preserve">A diferencia de otras ocasiones en las cuales he tenido la oportunidad de externar mi punto de vista sobre la </w:t>
      </w:r>
      <w:proofErr w:type="spellStart"/>
      <w:r w:rsidRPr="005A4DF1">
        <w:rPr>
          <w:rFonts w:ascii="Verdana" w:hAnsi="Verdana"/>
          <w:sz w:val="20"/>
          <w:szCs w:val="20"/>
        </w:rPr>
        <w:t>justiciabilidad</w:t>
      </w:r>
      <w:proofErr w:type="spellEnd"/>
      <w:r w:rsidRPr="005A4DF1">
        <w:rPr>
          <w:rFonts w:ascii="Verdana" w:hAnsi="Verdana"/>
          <w:sz w:val="20"/>
          <w:szCs w:val="20"/>
        </w:rPr>
        <w:t xml:space="preserve"> de algunos derechos económicos, sociales y culturales en el Sistema Interamericano y las posibles vías de interpretación de las disposiciones que conforman el </w:t>
      </w:r>
      <w:r w:rsidRPr="005A4DF1">
        <w:rPr>
          <w:rFonts w:ascii="Verdana" w:hAnsi="Verdana"/>
          <w:i/>
          <w:sz w:val="20"/>
          <w:szCs w:val="20"/>
        </w:rPr>
        <w:t>corpus iuris interamerican</w:t>
      </w:r>
      <w:r w:rsidR="00AA0FFF" w:rsidRPr="005A4DF1">
        <w:rPr>
          <w:rFonts w:ascii="Verdana" w:hAnsi="Verdana"/>
          <w:i/>
          <w:sz w:val="20"/>
          <w:szCs w:val="20"/>
        </w:rPr>
        <w:t>o</w:t>
      </w:r>
      <w:r w:rsidR="00AA0FFF" w:rsidRPr="005A4DF1">
        <w:rPr>
          <w:rStyle w:val="FootnoteReference"/>
          <w:rFonts w:ascii="Verdana" w:hAnsi="Verdana"/>
          <w:sz w:val="20"/>
          <w:szCs w:val="20"/>
        </w:rPr>
        <w:footnoteReference w:id="4"/>
      </w:r>
      <w:r w:rsidR="00130205" w:rsidRPr="005A4DF1">
        <w:rPr>
          <w:rFonts w:ascii="Verdana" w:hAnsi="Verdana"/>
          <w:sz w:val="20"/>
          <w:szCs w:val="20"/>
        </w:rPr>
        <w:t>;</w:t>
      </w:r>
      <w:r w:rsidRPr="005A4DF1">
        <w:rPr>
          <w:rFonts w:ascii="Verdana" w:hAnsi="Verdana"/>
          <w:sz w:val="20"/>
          <w:szCs w:val="20"/>
        </w:rPr>
        <w:t xml:space="preserve"> en el caso del </w:t>
      </w:r>
      <w:r w:rsidRPr="005A4DF1">
        <w:rPr>
          <w:rFonts w:ascii="Verdana" w:hAnsi="Verdana"/>
          <w:i/>
          <w:sz w:val="20"/>
          <w:szCs w:val="20"/>
        </w:rPr>
        <w:t>derecho a la vivienda</w:t>
      </w:r>
      <w:r w:rsidRPr="005A4DF1">
        <w:rPr>
          <w:rFonts w:ascii="Verdana" w:hAnsi="Verdana"/>
          <w:sz w:val="20"/>
          <w:szCs w:val="20"/>
        </w:rPr>
        <w:t xml:space="preserve"> ocurre una particularidad que no se había presentado en otras decisiones sobre el </w:t>
      </w:r>
      <w:r w:rsidR="00913997" w:rsidRPr="005A4DF1">
        <w:rPr>
          <w:rFonts w:ascii="Verdana" w:hAnsi="Verdana"/>
          <w:sz w:val="20"/>
          <w:szCs w:val="20"/>
        </w:rPr>
        <w:t xml:space="preserve">debate de los derechos sociales, al representar </w:t>
      </w:r>
      <w:r w:rsidRPr="005A4DF1">
        <w:rPr>
          <w:rFonts w:ascii="Verdana" w:hAnsi="Verdana"/>
          <w:sz w:val="20"/>
          <w:szCs w:val="20"/>
        </w:rPr>
        <w:t xml:space="preserve">un derecho que </w:t>
      </w:r>
      <w:r w:rsidR="00913997" w:rsidRPr="005A4DF1">
        <w:rPr>
          <w:rFonts w:ascii="Verdana" w:hAnsi="Verdana"/>
          <w:sz w:val="20"/>
          <w:szCs w:val="20"/>
        </w:rPr>
        <w:t>(</w:t>
      </w:r>
      <w:r w:rsidR="00354A23" w:rsidRPr="005A4DF1">
        <w:rPr>
          <w:rFonts w:ascii="Verdana" w:hAnsi="Verdana"/>
          <w:sz w:val="20"/>
          <w:szCs w:val="20"/>
        </w:rPr>
        <w:t>aparentemente</w:t>
      </w:r>
      <w:r w:rsidR="00913997" w:rsidRPr="005A4DF1">
        <w:rPr>
          <w:rFonts w:ascii="Verdana" w:hAnsi="Verdana"/>
          <w:sz w:val="20"/>
          <w:szCs w:val="20"/>
        </w:rPr>
        <w:t>)</w:t>
      </w:r>
      <w:r w:rsidR="00354A23" w:rsidRPr="005A4DF1">
        <w:rPr>
          <w:rFonts w:ascii="Verdana" w:hAnsi="Verdana"/>
          <w:sz w:val="20"/>
          <w:szCs w:val="20"/>
        </w:rPr>
        <w:t xml:space="preserve"> </w:t>
      </w:r>
      <w:r w:rsidRPr="005A4DF1">
        <w:rPr>
          <w:rFonts w:ascii="Verdana" w:hAnsi="Verdana"/>
          <w:sz w:val="20"/>
          <w:szCs w:val="20"/>
        </w:rPr>
        <w:t>ha sido olvidado en los propio</w:t>
      </w:r>
      <w:r w:rsidR="00130205" w:rsidRPr="005A4DF1">
        <w:rPr>
          <w:rFonts w:ascii="Verdana" w:hAnsi="Verdana"/>
          <w:sz w:val="20"/>
          <w:szCs w:val="20"/>
        </w:rPr>
        <w:t xml:space="preserve">s instrumentos interamericanos, incluso en el </w:t>
      </w:r>
      <w:r w:rsidR="00913997" w:rsidRPr="005A4DF1">
        <w:rPr>
          <w:rFonts w:ascii="Verdana" w:hAnsi="Verdana"/>
          <w:sz w:val="20"/>
          <w:szCs w:val="20"/>
        </w:rPr>
        <w:t>Protocolo Adicional a la Convención Americana en materia de Derechos Económicos, Sociales y Culturales o “Protocolo de San Salvador”.</w:t>
      </w:r>
    </w:p>
    <w:p w14:paraId="700298F2" w14:textId="77777777" w:rsidR="00945665" w:rsidRPr="005A4DF1" w:rsidRDefault="00945665" w:rsidP="00454C7F">
      <w:pPr>
        <w:pStyle w:val="ListParagraph"/>
        <w:ind w:left="0"/>
        <w:jc w:val="both"/>
        <w:rPr>
          <w:rFonts w:ascii="Verdana" w:hAnsi="Verdana"/>
          <w:sz w:val="20"/>
          <w:szCs w:val="20"/>
        </w:rPr>
      </w:pPr>
    </w:p>
    <w:p w14:paraId="20800E0B" w14:textId="42B6D4E3" w:rsidR="00913997" w:rsidRPr="005A4DF1" w:rsidRDefault="00354A23" w:rsidP="00454C7F">
      <w:pPr>
        <w:pStyle w:val="ListParagraph"/>
        <w:numPr>
          <w:ilvl w:val="0"/>
          <w:numId w:val="1"/>
        </w:numPr>
        <w:ind w:left="0" w:firstLine="0"/>
        <w:jc w:val="both"/>
        <w:rPr>
          <w:rFonts w:ascii="Verdana" w:hAnsi="Verdana"/>
          <w:sz w:val="20"/>
          <w:szCs w:val="20"/>
        </w:rPr>
      </w:pPr>
      <w:r w:rsidRPr="005A4DF1">
        <w:rPr>
          <w:rFonts w:ascii="Verdana" w:hAnsi="Verdana"/>
          <w:sz w:val="20"/>
          <w:szCs w:val="20"/>
        </w:rPr>
        <w:t>Es por ello</w:t>
      </w:r>
      <w:r w:rsidR="00EC0491" w:rsidRPr="005A4DF1">
        <w:rPr>
          <w:rFonts w:ascii="Verdana" w:hAnsi="Verdana"/>
          <w:sz w:val="20"/>
          <w:szCs w:val="20"/>
        </w:rPr>
        <w:t xml:space="preserve"> que si bien coincido con el </w:t>
      </w:r>
      <w:r w:rsidR="00130205" w:rsidRPr="005A4DF1">
        <w:rPr>
          <w:rFonts w:ascii="Verdana" w:hAnsi="Verdana"/>
          <w:sz w:val="20"/>
          <w:szCs w:val="20"/>
        </w:rPr>
        <w:t>sentido de</w:t>
      </w:r>
      <w:r w:rsidR="00EC0491" w:rsidRPr="005A4DF1">
        <w:rPr>
          <w:rFonts w:ascii="Verdana" w:hAnsi="Verdana"/>
          <w:sz w:val="20"/>
          <w:szCs w:val="20"/>
        </w:rPr>
        <w:t xml:space="preserve"> la presente Sentencia, co</w:t>
      </w:r>
      <w:r w:rsidRPr="005A4DF1">
        <w:rPr>
          <w:rFonts w:ascii="Verdana" w:hAnsi="Verdana"/>
          <w:sz w:val="20"/>
          <w:szCs w:val="20"/>
        </w:rPr>
        <w:t>nsidero necesario —</w:t>
      </w:r>
      <w:r w:rsidR="00F22CCD" w:rsidRPr="005A4DF1">
        <w:rPr>
          <w:rFonts w:ascii="Verdana" w:hAnsi="Verdana"/>
          <w:sz w:val="20"/>
          <w:szCs w:val="20"/>
        </w:rPr>
        <w:t>dada la afectación a la</w:t>
      </w:r>
      <w:r w:rsidR="0016270B">
        <w:rPr>
          <w:rFonts w:ascii="Verdana" w:hAnsi="Verdana"/>
          <w:sz w:val="20"/>
          <w:szCs w:val="20"/>
        </w:rPr>
        <w:t>s</w:t>
      </w:r>
      <w:r w:rsidR="00F22CCD" w:rsidRPr="005A4DF1">
        <w:rPr>
          <w:rFonts w:ascii="Verdana" w:hAnsi="Verdana"/>
          <w:sz w:val="20"/>
          <w:szCs w:val="20"/>
        </w:rPr>
        <w:t xml:space="preserve"> vivienda</w:t>
      </w:r>
      <w:r w:rsidR="0016270B">
        <w:rPr>
          <w:rFonts w:ascii="Verdana" w:hAnsi="Verdana"/>
          <w:sz w:val="20"/>
          <w:szCs w:val="20"/>
        </w:rPr>
        <w:t>s</w:t>
      </w:r>
      <w:r w:rsidR="00F22CCD" w:rsidRPr="005A4DF1">
        <w:rPr>
          <w:rFonts w:ascii="Verdana" w:hAnsi="Verdana"/>
          <w:sz w:val="20"/>
          <w:szCs w:val="20"/>
        </w:rPr>
        <w:t xml:space="preserve"> </w:t>
      </w:r>
      <w:r w:rsidR="00EC0491" w:rsidRPr="005A4DF1">
        <w:rPr>
          <w:rFonts w:ascii="Verdana" w:hAnsi="Verdana"/>
          <w:sz w:val="20"/>
          <w:szCs w:val="20"/>
        </w:rPr>
        <w:t xml:space="preserve">en el caso </w:t>
      </w:r>
      <w:r w:rsidR="00EC0491" w:rsidRPr="005A4DF1">
        <w:rPr>
          <w:rFonts w:ascii="Verdana" w:hAnsi="Verdana"/>
          <w:i/>
          <w:sz w:val="20"/>
          <w:szCs w:val="20"/>
        </w:rPr>
        <w:t>sub judice</w:t>
      </w:r>
      <w:r w:rsidR="00F22CCD" w:rsidRPr="005A4DF1">
        <w:rPr>
          <w:rFonts w:ascii="Verdana" w:hAnsi="Verdana"/>
          <w:i/>
          <w:sz w:val="20"/>
          <w:szCs w:val="20"/>
        </w:rPr>
        <w:t xml:space="preserve"> </w:t>
      </w:r>
      <w:r w:rsidR="00F22CCD" w:rsidRPr="005A4DF1">
        <w:rPr>
          <w:rFonts w:ascii="Verdana" w:hAnsi="Verdana"/>
          <w:sz w:val="20"/>
          <w:szCs w:val="20"/>
        </w:rPr>
        <w:t xml:space="preserve">respecto a dos víctimas y sus familiares, así como </w:t>
      </w:r>
      <w:r w:rsidR="00913997" w:rsidRPr="005A4DF1">
        <w:rPr>
          <w:rFonts w:ascii="Verdana" w:hAnsi="Verdana"/>
          <w:sz w:val="20"/>
          <w:szCs w:val="20"/>
        </w:rPr>
        <w:t>la especial consideración que la Corte IDH realiza en las</w:t>
      </w:r>
      <w:r w:rsidR="00F22CCD" w:rsidRPr="005A4DF1">
        <w:rPr>
          <w:rFonts w:ascii="Verdana" w:hAnsi="Verdana"/>
          <w:sz w:val="20"/>
          <w:szCs w:val="20"/>
        </w:rPr>
        <w:t xml:space="preserve"> reparaciones ordenadas</w:t>
      </w:r>
      <w:r w:rsidRPr="005A4DF1">
        <w:rPr>
          <w:rFonts w:ascii="Verdana" w:hAnsi="Verdana"/>
          <w:i/>
          <w:sz w:val="20"/>
          <w:szCs w:val="20"/>
        </w:rPr>
        <w:t>—</w:t>
      </w:r>
      <w:r w:rsidR="00EC0491" w:rsidRPr="005A4DF1">
        <w:rPr>
          <w:rFonts w:ascii="Verdana" w:hAnsi="Verdana"/>
          <w:i/>
          <w:sz w:val="20"/>
          <w:szCs w:val="20"/>
        </w:rPr>
        <w:t xml:space="preserve"> </w:t>
      </w:r>
      <w:r w:rsidR="00EC0491" w:rsidRPr="005A4DF1">
        <w:rPr>
          <w:rFonts w:ascii="Verdana" w:hAnsi="Verdana"/>
          <w:sz w:val="20"/>
          <w:szCs w:val="20"/>
        </w:rPr>
        <w:t xml:space="preserve">poner de relieve </w:t>
      </w:r>
      <w:r w:rsidR="004A7E67" w:rsidRPr="005A4DF1">
        <w:rPr>
          <w:rFonts w:ascii="Verdana" w:hAnsi="Verdana"/>
          <w:sz w:val="20"/>
          <w:szCs w:val="20"/>
        </w:rPr>
        <w:t xml:space="preserve">la legítima posibilidad interpretativa de derivar el </w:t>
      </w:r>
      <w:r w:rsidR="004A7E67" w:rsidRPr="005A4DF1">
        <w:rPr>
          <w:rFonts w:ascii="Verdana" w:hAnsi="Verdana"/>
          <w:i/>
          <w:sz w:val="20"/>
          <w:szCs w:val="20"/>
        </w:rPr>
        <w:t xml:space="preserve">derecho a la vivienda </w:t>
      </w:r>
      <w:r w:rsidR="004A7E67" w:rsidRPr="005A4DF1">
        <w:rPr>
          <w:rFonts w:ascii="Verdana" w:hAnsi="Verdana"/>
          <w:sz w:val="20"/>
          <w:szCs w:val="20"/>
        </w:rPr>
        <w:t>de las normas con</w:t>
      </w:r>
      <w:r w:rsidR="006E0AAE" w:rsidRPr="005A4DF1">
        <w:rPr>
          <w:rFonts w:ascii="Verdana" w:hAnsi="Verdana"/>
          <w:sz w:val="20"/>
          <w:szCs w:val="20"/>
        </w:rPr>
        <w:t>tenidas de la Carta de la O</w:t>
      </w:r>
      <w:r w:rsidR="00FF741E">
        <w:rPr>
          <w:rFonts w:ascii="Verdana" w:hAnsi="Verdana"/>
          <w:sz w:val="20"/>
          <w:szCs w:val="20"/>
        </w:rPr>
        <w:t xml:space="preserve">rganización de </w:t>
      </w:r>
      <w:r w:rsidR="006E0AAE" w:rsidRPr="005A4DF1">
        <w:rPr>
          <w:rFonts w:ascii="Verdana" w:hAnsi="Verdana"/>
          <w:sz w:val="20"/>
          <w:szCs w:val="20"/>
        </w:rPr>
        <w:t>E</w:t>
      </w:r>
      <w:r w:rsidR="00FF741E">
        <w:rPr>
          <w:rFonts w:ascii="Verdana" w:hAnsi="Verdana"/>
          <w:sz w:val="20"/>
          <w:szCs w:val="20"/>
        </w:rPr>
        <w:t xml:space="preserve">stados </w:t>
      </w:r>
      <w:r w:rsidR="006E0AAE" w:rsidRPr="005A4DF1">
        <w:rPr>
          <w:rFonts w:ascii="Verdana" w:hAnsi="Verdana"/>
          <w:sz w:val="20"/>
          <w:szCs w:val="20"/>
        </w:rPr>
        <w:t>A</w:t>
      </w:r>
      <w:r w:rsidR="00FF741E">
        <w:rPr>
          <w:rFonts w:ascii="Verdana" w:hAnsi="Verdana"/>
          <w:sz w:val="20"/>
          <w:szCs w:val="20"/>
        </w:rPr>
        <w:t>mericanos (en adelante “la Carta de la OEA” o “la Carta”</w:t>
      </w:r>
      <w:r w:rsidR="000838E1">
        <w:rPr>
          <w:rFonts w:ascii="Verdana" w:hAnsi="Verdana"/>
          <w:sz w:val="20"/>
          <w:szCs w:val="20"/>
        </w:rPr>
        <w:t>)</w:t>
      </w:r>
      <w:r w:rsidR="006E0AAE" w:rsidRPr="005A4DF1">
        <w:rPr>
          <w:rFonts w:ascii="Verdana" w:hAnsi="Verdana"/>
          <w:sz w:val="20"/>
          <w:szCs w:val="20"/>
        </w:rPr>
        <w:t>, pudiendo</w:t>
      </w:r>
      <w:r w:rsidR="004A7E67" w:rsidRPr="005A4DF1">
        <w:rPr>
          <w:rFonts w:ascii="Verdana" w:hAnsi="Verdana"/>
          <w:sz w:val="20"/>
          <w:szCs w:val="20"/>
        </w:rPr>
        <w:t xml:space="preserve"> declarar la violación del artículo 26 de</w:t>
      </w:r>
      <w:r w:rsidR="00FF741E">
        <w:rPr>
          <w:rFonts w:ascii="Verdana" w:hAnsi="Verdana"/>
          <w:sz w:val="20"/>
          <w:szCs w:val="20"/>
        </w:rPr>
        <w:t xml:space="preserve"> </w:t>
      </w:r>
      <w:r w:rsidR="004A7E67" w:rsidRPr="005A4DF1">
        <w:rPr>
          <w:rFonts w:ascii="Verdana" w:hAnsi="Verdana"/>
          <w:sz w:val="20"/>
          <w:szCs w:val="20"/>
        </w:rPr>
        <w:t>l</w:t>
      </w:r>
      <w:r w:rsidR="00FF741E">
        <w:rPr>
          <w:rFonts w:ascii="Verdana" w:hAnsi="Verdana"/>
          <w:sz w:val="20"/>
          <w:szCs w:val="20"/>
        </w:rPr>
        <w:t>a Convención Americana</w:t>
      </w:r>
      <w:r w:rsidR="004A7E67" w:rsidRPr="005A4DF1">
        <w:rPr>
          <w:rFonts w:ascii="Verdana" w:hAnsi="Verdana"/>
          <w:sz w:val="20"/>
          <w:szCs w:val="20"/>
        </w:rPr>
        <w:t>; y no solo reconducir la violación v</w:t>
      </w:r>
      <w:r w:rsidR="00F4579F" w:rsidRPr="005A4DF1">
        <w:rPr>
          <w:rFonts w:ascii="Verdana" w:hAnsi="Verdana"/>
          <w:sz w:val="20"/>
          <w:szCs w:val="20"/>
        </w:rPr>
        <w:t>ía conexidad con el</w:t>
      </w:r>
      <w:r w:rsidR="004A7E67" w:rsidRPr="005A4DF1">
        <w:rPr>
          <w:rFonts w:ascii="Verdana" w:hAnsi="Verdana"/>
          <w:sz w:val="20"/>
          <w:szCs w:val="20"/>
        </w:rPr>
        <w:t xml:space="preserve"> derecho a la propiedad contenido en el artículo 21 de</w:t>
      </w:r>
      <w:r w:rsidR="00FF741E">
        <w:rPr>
          <w:rFonts w:ascii="Verdana" w:hAnsi="Verdana"/>
          <w:sz w:val="20"/>
          <w:szCs w:val="20"/>
        </w:rPr>
        <w:t>l Pacto de San José</w:t>
      </w:r>
      <w:r w:rsidR="006E0AAE" w:rsidRPr="005A4DF1">
        <w:rPr>
          <w:rFonts w:ascii="Verdana" w:hAnsi="Verdana"/>
          <w:sz w:val="20"/>
          <w:szCs w:val="20"/>
        </w:rPr>
        <w:t xml:space="preserve">. </w:t>
      </w:r>
      <w:r w:rsidR="00DC265D" w:rsidRPr="005A4DF1">
        <w:rPr>
          <w:rFonts w:ascii="Verdana" w:hAnsi="Verdana"/>
          <w:sz w:val="20"/>
          <w:szCs w:val="20"/>
        </w:rPr>
        <w:t>L</w:t>
      </w:r>
      <w:r w:rsidR="00913997" w:rsidRPr="005A4DF1">
        <w:rPr>
          <w:rFonts w:ascii="Verdana" w:hAnsi="Verdana"/>
          <w:sz w:val="20"/>
          <w:szCs w:val="20"/>
        </w:rPr>
        <w:t xml:space="preserve">o anterior </w:t>
      </w:r>
      <w:r w:rsidR="00DC265D" w:rsidRPr="005A4DF1">
        <w:rPr>
          <w:rFonts w:ascii="Verdana" w:hAnsi="Verdana"/>
          <w:sz w:val="20"/>
          <w:szCs w:val="20"/>
        </w:rPr>
        <w:t xml:space="preserve">adquiere una especial importancia </w:t>
      </w:r>
      <w:r w:rsidR="00913997" w:rsidRPr="005A4DF1">
        <w:rPr>
          <w:rFonts w:ascii="Verdana" w:hAnsi="Verdana"/>
          <w:sz w:val="20"/>
          <w:szCs w:val="20"/>
        </w:rPr>
        <w:t xml:space="preserve">considerando </w:t>
      </w:r>
      <w:r w:rsidR="00DC265D" w:rsidRPr="005A4DF1">
        <w:rPr>
          <w:rFonts w:ascii="Verdana" w:hAnsi="Verdana"/>
          <w:sz w:val="20"/>
          <w:szCs w:val="20"/>
        </w:rPr>
        <w:t>la labor de las y los defensores de derechos humanos y</w:t>
      </w:r>
      <w:r w:rsidR="00D913BD" w:rsidRPr="005A4DF1">
        <w:rPr>
          <w:rFonts w:ascii="Verdana" w:hAnsi="Verdana"/>
          <w:sz w:val="20"/>
          <w:szCs w:val="20"/>
        </w:rPr>
        <w:t xml:space="preserve"> la pérdida de la vivienda </w:t>
      </w:r>
      <w:r w:rsidR="00EC0491" w:rsidRPr="005A4DF1">
        <w:rPr>
          <w:rFonts w:ascii="Verdana" w:hAnsi="Verdana"/>
          <w:sz w:val="20"/>
          <w:szCs w:val="20"/>
        </w:rPr>
        <w:t xml:space="preserve">en los contextos de desplazamiento forzado interno </w:t>
      </w:r>
      <w:r w:rsidR="00913997" w:rsidRPr="005A4DF1">
        <w:rPr>
          <w:rFonts w:ascii="Verdana" w:hAnsi="Verdana"/>
          <w:sz w:val="20"/>
          <w:szCs w:val="20"/>
        </w:rPr>
        <w:t xml:space="preserve">(incluso </w:t>
      </w:r>
      <w:r w:rsidR="00F4579F" w:rsidRPr="005A4DF1">
        <w:rPr>
          <w:rFonts w:ascii="Verdana" w:hAnsi="Verdana"/>
          <w:sz w:val="20"/>
          <w:szCs w:val="20"/>
        </w:rPr>
        <w:t xml:space="preserve">de carácter </w:t>
      </w:r>
      <w:proofErr w:type="spellStart"/>
      <w:r w:rsidR="00F4579F" w:rsidRPr="005A4DF1">
        <w:rPr>
          <w:rFonts w:ascii="Verdana" w:hAnsi="Verdana"/>
          <w:sz w:val="20"/>
          <w:szCs w:val="20"/>
        </w:rPr>
        <w:t>intraurbano</w:t>
      </w:r>
      <w:proofErr w:type="spellEnd"/>
      <w:r w:rsidR="00913997" w:rsidRPr="005A4DF1">
        <w:rPr>
          <w:rFonts w:ascii="Verdana" w:hAnsi="Verdana"/>
          <w:sz w:val="20"/>
          <w:szCs w:val="20"/>
        </w:rPr>
        <w:t>)</w:t>
      </w:r>
      <w:r w:rsidR="00F4579F" w:rsidRPr="005A4DF1">
        <w:rPr>
          <w:rFonts w:ascii="Verdana" w:hAnsi="Verdana"/>
          <w:sz w:val="20"/>
          <w:szCs w:val="20"/>
        </w:rPr>
        <w:t xml:space="preserve">, </w:t>
      </w:r>
      <w:r w:rsidR="004A7E67" w:rsidRPr="005A4DF1">
        <w:rPr>
          <w:rFonts w:ascii="Verdana" w:hAnsi="Verdana"/>
          <w:sz w:val="20"/>
          <w:szCs w:val="20"/>
        </w:rPr>
        <w:t>como lo evidencia el presente caso.</w:t>
      </w:r>
      <w:r w:rsidR="00755F19" w:rsidRPr="005A4DF1">
        <w:rPr>
          <w:rFonts w:ascii="Verdana" w:hAnsi="Verdana"/>
          <w:sz w:val="20"/>
          <w:szCs w:val="20"/>
        </w:rPr>
        <w:t xml:space="preserve"> </w:t>
      </w:r>
    </w:p>
    <w:p w14:paraId="1568B8B9" w14:textId="77777777" w:rsidR="00913997" w:rsidRPr="005A4DF1" w:rsidRDefault="00913997" w:rsidP="00454C7F">
      <w:pPr>
        <w:jc w:val="both"/>
        <w:rPr>
          <w:rFonts w:ascii="Verdana" w:hAnsi="Verdana"/>
          <w:sz w:val="20"/>
          <w:szCs w:val="20"/>
        </w:rPr>
      </w:pPr>
    </w:p>
    <w:p w14:paraId="3784DB49" w14:textId="6D15738C" w:rsidR="006C467C" w:rsidRPr="007B4713" w:rsidRDefault="00913997" w:rsidP="00C852E4">
      <w:pPr>
        <w:pStyle w:val="ListParagraph"/>
        <w:numPr>
          <w:ilvl w:val="0"/>
          <w:numId w:val="1"/>
        </w:numPr>
        <w:ind w:left="0" w:firstLine="0"/>
        <w:jc w:val="both"/>
        <w:rPr>
          <w:rFonts w:ascii="Verdana" w:hAnsi="Verdana"/>
          <w:sz w:val="20"/>
          <w:szCs w:val="20"/>
        </w:rPr>
      </w:pPr>
      <w:r w:rsidRPr="005A4DF1">
        <w:rPr>
          <w:rFonts w:ascii="Verdana" w:hAnsi="Verdana"/>
          <w:sz w:val="20"/>
          <w:szCs w:val="20"/>
        </w:rPr>
        <w:t>Considerando lo anterior, a</w:t>
      </w:r>
      <w:r w:rsidR="000B7FD4" w:rsidRPr="005A4DF1">
        <w:rPr>
          <w:rFonts w:ascii="Verdana" w:hAnsi="Verdana"/>
          <w:sz w:val="20"/>
          <w:szCs w:val="20"/>
        </w:rPr>
        <w:t xml:space="preserve"> continuación desarrollaré</w:t>
      </w:r>
      <w:r w:rsidR="00047B71" w:rsidRPr="005A4DF1">
        <w:rPr>
          <w:rFonts w:ascii="Verdana" w:hAnsi="Verdana"/>
          <w:sz w:val="20"/>
          <w:szCs w:val="20"/>
        </w:rPr>
        <w:t xml:space="preserve">: </w:t>
      </w:r>
      <w:r w:rsidR="00047B71" w:rsidRPr="0019162F">
        <w:rPr>
          <w:rFonts w:ascii="Verdana" w:hAnsi="Verdana"/>
          <w:b/>
          <w:i/>
          <w:sz w:val="20"/>
          <w:szCs w:val="20"/>
        </w:rPr>
        <w:t>i)</w:t>
      </w:r>
      <w:r w:rsidR="00047B71" w:rsidRPr="0019162F">
        <w:rPr>
          <w:rFonts w:ascii="Verdana" w:hAnsi="Verdana"/>
          <w:sz w:val="20"/>
          <w:szCs w:val="20"/>
        </w:rPr>
        <w:t xml:space="preserve"> </w:t>
      </w:r>
      <w:r w:rsidR="00143D75" w:rsidRPr="0019162F">
        <w:rPr>
          <w:rFonts w:ascii="Verdana" w:hAnsi="Verdana"/>
          <w:sz w:val="20"/>
          <w:szCs w:val="20"/>
        </w:rPr>
        <w:t xml:space="preserve">la </w:t>
      </w:r>
      <w:r w:rsidR="00D913BD" w:rsidRPr="0019162F">
        <w:rPr>
          <w:rFonts w:ascii="Verdana" w:hAnsi="Verdana"/>
          <w:sz w:val="20"/>
          <w:szCs w:val="20"/>
        </w:rPr>
        <w:t xml:space="preserve">competencia de la Corte IDH para pronunciarse sobre el artículo 26 de la Convención Americana y </w:t>
      </w:r>
      <w:r w:rsidR="00143D75" w:rsidRPr="0019162F">
        <w:rPr>
          <w:rFonts w:ascii="Verdana" w:hAnsi="Verdana"/>
          <w:sz w:val="20"/>
          <w:szCs w:val="20"/>
        </w:rPr>
        <w:t xml:space="preserve">el </w:t>
      </w:r>
      <w:r w:rsidR="00D913BD" w:rsidRPr="0019162F">
        <w:rPr>
          <w:rFonts w:ascii="Verdana" w:hAnsi="Verdana"/>
          <w:sz w:val="20"/>
          <w:szCs w:val="20"/>
        </w:rPr>
        <w:t xml:space="preserve">reconocimiento de derechos en esa norma </w:t>
      </w:r>
      <w:r w:rsidR="00D913BD" w:rsidRPr="00197667">
        <w:rPr>
          <w:rFonts w:ascii="Verdana" w:hAnsi="Verdana"/>
          <w:sz w:val="20"/>
          <w:szCs w:val="20"/>
        </w:rPr>
        <w:t>(</w:t>
      </w:r>
      <w:proofErr w:type="spellStart"/>
      <w:r w:rsidR="009233E7">
        <w:rPr>
          <w:rFonts w:ascii="Verdana" w:hAnsi="Verdana"/>
          <w:i/>
          <w:sz w:val="20"/>
          <w:szCs w:val="20"/>
          <w:u w:val="single"/>
        </w:rPr>
        <w:t>párrs</w:t>
      </w:r>
      <w:proofErr w:type="spellEnd"/>
      <w:r w:rsidR="009233E7">
        <w:rPr>
          <w:rFonts w:ascii="Verdana" w:hAnsi="Verdana"/>
          <w:i/>
          <w:sz w:val="20"/>
          <w:szCs w:val="20"/>
          <w:u w:val="single"/>
        </w:rPr>
        <w:t>. 8-40</w:t>
      </w:r>
      <w:r w:rsidR="00D913BD" w:rsidRPr="0019162F">
        <w:rPr>
          <w:rFonts w:ascii="Verdana" w:hAnsi="Verdana"/>
          <w:sz w:val="20"/>
          <w:szCs w:val="20"/>
        </w:rPr>
        <w:t xml:space="preserve">); </w:t>
      </w:r>
      <w:r w:rsidR="00D913BD" w:rsidRPr="0019162F">
        <w:rPr>
          <w:rFonts w:ascii="Verdana" w:hAnsi="Verdana"/>
          <w:b/>
          <w:i/>
          <w:sz w:val="20"/>
          <w:szCs w:val="20"/>
        </w:rPr>
        <w:t>ii)</w:t>
      </w:r>
      <w:r w:rsidR="00D913BD" w:rsidRPr="0019162F">
        <w:rPr>
          <w:rFonts w:ascii="Verdana" w:hAnsi="Verdana"/>
          <w:sz w:val="20"/>
          <w:szCs w:val="20"/>
        </w:rPr>
        <w:t xml:space="preserve"> </w:t>
      </w:r>
      <w:r w:rsidR="00DC265D" w:rsidRPr="0019162F">
        <w:rPr>
          <w:rFonts w:ascii="Verdana" w:hAnsi="Verdana"/>
          <w:sz w:val="20"/>
          <w:szCs w:val="20"/>
        </w:rPr>
        <w:t xml:space="preserve">la protección del </w:t>
      </w:r>
      <w:r w:rsidR="00DC265D" w:rsidRPr="0019162F">
        <w:rPr>
          <w:rFonts w:ascii="Verdana" w:hAnsi="Verdana"/>
          <w:i/>
          <w:sz w:val="20"/>
          <w:szCs w:val="20"/>
        </w:rPr>
        <w:t>derecho a la vivienda</w:t>
      </w:r>
      <w:r w:rsidR="00DC265D" w:rsidRPr="0019162F">
        <w:rPr>
          <w:rFonts w:ascii="Verdana" w:hAnsi="Verdana"/>
          <w:sz w:val="20"/>
          <w:szCs w:val="20"/>
        </w:rPr>
        <w:t xml:space="preserve"> por la vía </w:t>
      </w:r>
      <w:r w:rsidR="00F17FED" w:rsidRPr="0019162F">
        <w:rPr>
          <w:rFonts w:ascii="Verdana" w:hAnsi="Verdana"/>
          <w:sz w:val="20"/>
          <w:szCs w:val="20"/>
        </w:rPr>
        <w:t xml:space="preserve">indirecta a través de </w:t>
      </w:r>
      <w:r w:rsidR="00DC265D" w:rsidRPr="0019162F">
        <w:rPr>
          <w:rFonts w:ascii="Verdana" w:hAnsi="Verdana"/>
          <w:sz w:val="20"/>
          <w:szCs w:val="20"/>
        </w:rPr>
        <w:t xml:space="preserve">la conexidad </w:t>
      </w:r>
      <w:r w:rsidR="00F17FED" w:rsidRPr="0019162F">
        <w:rPr>
          <w:rFonts w:ascii="Verdana" w:hAnsi="Verdana"/>
          <w:sz w:val="20"/>
          <w:szCs w:val="20"/>
        </w:rPr>
        <w:t xml:space="preserve">con otros derechos </w:t>
      </w:r>
      <w:r w:rsidR="00A763C1" w:rsidRPr="0019162F">
        <w:rPr>
          <w:rFonts w:ascii="Verdana" w:hAnsi="Verdana"/>
          <w:sz w:val="20"/>
          <w:szCs w:val="20"/>
        </w:rPr>
        <w:t>(</w:t>
      </w:r>
      <w:proofErr w:type="spellStart"/>
      <w:r w:rsidR="009233E7">
        <w:rPr>
          <w:rFonts w:ascii="Verdana" w:hAnsi="Verdana"/>
          <w:i/>
          <w:sz w:val="20"/>
          <w:szCs w:val="20"/>
          <w:u w:val="single"/>
        </w:rPr>
        <w:t>párrs</w:t>
      </w:r>
      <w:proofErr w:type="spellEnd"/>
      <w:r w:rsidR="009233E7">
        <w:rPr>
          <w:rFonts w:ascii="Verdana" w:hAnsi="Verdana"/>
          <w:i/>
          <w:sz w:val="20"/>
          <w:szCs w:val="20"/>
          <w:u w:val="single"/>
        </w:rPr>
        <w:t>. 41</w:t>
      </w:r>
      <w:r w:rsidR="006E1E95" w:rsidRPr="00197667">
        <w:rPr>
          <w:rFonts w:ascii="Verdana" w:hAnsi="Verdana"/>
          <w:i/>
          <w:sz w:val="20"/>
          <w:szCs w:val="20"/>
          <w:u w:val="single"/>
        </w:rPr>
        <w:t>-4</w:t>
      </w:r>
      <w:r w:rsidR="009233E7">
        <w:rPr>
          <w:rFonts w:ascii="Verdana" w:hAnsi="Verdana"/>
          <w:i/>
          <w:sz w:val="20"/>
          <w:szCs w:val="20"/>
          <w:u w:val="single"/>
        </w:rPr>
        <w:t>6</w:t>
      </w:r>
      <w:r w:rsidR="00DC265D" w:rsidRPr="0019162F">
        <w:rPr>
          <w:rFonts w:ascii="Verdana" w:hAnsi="Verdana"/>
          <w:sz w:val="20"/>
          <w:szCs w:val="20"/>
        </w:rPr>
        <w:t xml:space="preserve">); </w:t>
      </w:r>
      <w:r w:rsidR="00F17FED" w:rsidRPr="0019162F">
        <w:rPr>
          <w:rFonts w:ascii="Verdana" w:hAnsi="Verdana"/>
          <w:b/>
          <w:i/>
          <w:sz w:val="20"/>
          <w:szCs w:val="20"/>
        </w:rPr>
        <w:t>iii)</w:t>
      </w:r>
      <w:r w:rsidR="00F17FED" w:rsidRPr="0019162F">
        <w:rPr>
          <w:rFonts w:ascii="Verdana" w:hAnsi="Verdana"/>
          <w:sz w:val="20"/>
          <w:szCs w:val="20"/>
        </w:rPr>
        <w:t xml:space="preserve"> </w:t>
      </w:r>
      <w:r w:rsidR="00047B71" w:rsidRPr="0019162F">
        <w:rPr>
          <w:rFonts w:ascii="Verdana" w:hAnsi="Verdana"/>
          <w:sz w:val="20"/>
          <w:szCs w:val="20"/>
        </w:rPr>
        <w:t xml:space="preserve">la posibilidad de abordar el </w:t>
      </w:r>
      <w:r w:rsidR="00047B71" w:rsidRPr="0019162F">
        <w:rPr>
          <w:rFonts w:ascii="Verdana" w:hAnsi="Verdana"/>
          <w:i/>
          <w:sz w:val="20"/>
          <w:szCs w:val="20"/>
        </w:rPr>
        <w:t>derecho a la vivienda</w:t>
      </w:r>
      <w:r w:rsidR="00047B71" w:rsidRPr="0019162F">
        <w:rPr>
          <w:rFonts w:ascii="Verdana" w:hAnsi="Verdana"/>
          <w:sz w:val="20"/>
          <w:szCs w:val="20"/>
        </w:rPr>
        <w:t xml:space="preserve"> de manera autónoma en la jurisprudencia de la Corte </w:t>
      </w:r>
      <w:r w:rsidR="00047B71" w:rsidRPr="00D734D8">
        <w:rPr>
          <w:rFonts w:ascii="Verdana" w:hAnsi="Verdana"/>
          <w:sz w:val="20"/>
          <w:szCs w:val="20"/>
        </w:rPr>
        <w:t>Interamericana</w:t>
      </w:r>
      <w:r w:rsidR="000B7FD4" w:rsidRPr="00D734D8">
        <w:rPr>
          <w:rFonts w:ascii="Verdana" w:hAnsi="Verdana"/>
          <w:sz w:val="20"/>
          <w:szCs w:val="20"/>
        </w:rPr>
        <w:t xml:space="preserve"> (</w:t>
      </w:r>
      <w:proofErr w:type="spellStart"/>
      <w:r w:rsidR="001361C3" w:rsidRPr="00D734D8">
        <w:rPr>
          <w:rFonts w:ascii="Verdana" w:hAnsi="Verdana"/>
          <w:i/>
          <w:sz w:val="20"/>
          <w:szCs w:val="20"/>
          <w:u w:val="single"/>
        </w:rPr>
        <w:t>párrs</w:t>
      </w:r>
      <w:proofErr w:type="spellEnd"/>
      <w:r w:rsidR="001361C3" w:rsidRPr="00D734D8">
        <w:rPr>
          <w:rFonts w:ascii="Verdana" w:hAnsi="Verdana"/>
          <w:i/>
          <w:sz w:val="20"/>
          <w:szCs w:val="20"/>
          <w:u w:val="single"/>
        </w:rPr>
        <w:t>. 47</w:t>
      </w:r>
      <w:r w:rsidR="00F17FED" w:rsidRPr="00D734D8">
        <w:rPr>
          <w:rFonts w:ascii="Verdana" w:hAnsi="Verdana"/>
          <w:i/>
          <w:sz w:val="20"/>
          <w:szCs w:val="20"/>
          <w:u w:val="single"/>
        </w:rPr>
        <w:t>-</w:t>
      </w:r>
      <w:r w:rsidR="0019162F" w:rsidRPr="00D734D8">
        <w:rPr>
          <w:rFonts w:ascii="Verdana" w:hAnsi="Verdana"/>
          <w:i/>
          <w:sz w:val="20"/>
          <w:szCs w:val="20"/>
          <w:u w:val="single"/>
        </w:rPr>
        <w:t>10</w:t>
      </w:r>
      <w:r w:rsidR="00B7366A" w:rsidRPr="00D734D8">
        <w:rPr>
          <w:rFonts w:ascii="Verdana" w:hAnsi="Verdana"/>
          <w:i/>
          <w:sz w:val="20"/>
          <w:szCs w:val="20"/>
          <w:u w:val="single"/>
        </w:rPr>
        <w:t>5</w:t>
      </w:r>
      <w:r w:rsidR="000B7FD4" w:rsidRPr="00D734D8">
        <w:rPr>
          <w:rFonts w:ascii="Verdana" w:hAnsi="Verdana"/>
          <w:sz w:val="20"/>
          <w:szCs w:val="20"/>
        </w:rPr>
        <w:t>)</w:t>
      </w:r>
      <w:r w:rsidR="002C5F28" w:rsidRPr="00D734D8">
        <w:rPr>
          <w:rFonts w:ascii="Verdana" w:hAnsi="Verdana"/>
          <w:sz w:val="20"/>
          <w:szCs w:val="20"/>
        </w:rPr>
        <w:t>:</w:t>
      </w:r>
      <w:r w:rsidR="002C5F28" w:rsidRPr="0019162F">
        <w:rPr>
          <w:rFonts w:ascii="Verdana" w:hAnsi="Verdana"/>
          <w:sz w:val="20"/>
          <w:szCs w:val="20"/>
        </w:rPr>
        <w:t xml:space="preserve"> A. </w:t>
      </w:r>
      <w:r w:rsidR="0073390C" w:rsidRPr="0019162F">
        <w:rPr>
          <w:rFonts w:ascii="Verdana" w:hAnsi="Verdana"/>
          <w:sz w:val="20"/>
          <w:szCs w:val="20"/>
        </w:rPr>
        <w:t>Reconocimiento normativo (</w:t>
      </w:r>
      <w:proofErr w:type="spellStart"/>
      <w:r w:rsidR="00C73EB2" w:rsidRPr="00733512">
        <w:rPr>
          <w:rFonts w:ascii="Verdana" w:hAnsi="Verdana"/>
          <w:i/>
          <w:sz w:val="20"/>
          <w:szCs w:val="20"/>
          <w:u w:val="single"/>
        </w:rPr>
        <w:t>párrs</w:t>
      </w:r>
      <w:proofErr w:type="spellEnd"/>
      <w:r w:rsidR="00C73EB2" w:rsidRPr="00733512">
        <w:rPr>
          <w:rFonts w:ascii="Verdana" w:hAnsi="Verdana"/>
          <w:i/>
          <w:sz w:val="20"/>
          <w:szCs w:val="20"/>
          <w:u w:val="single"/>
        </w:rPr>
        <w:t>. 49</w:t>
      </w:r>
      <w:r w:rsidR="0073390C" w:rsidRPr="00733512">
        <w:rPr>
          <w:rFonts w:ascii="Verdana" w:hAnsi="Verdana"/>
          <w:i/>
          <w:sz w:val="20"/>
          <w:szCs w:val="20"/>
          <w:u w:val="single"/>
        </w:rPr>
        <w:t>-5</w:t>
      </w:r>
      <w:r w:rsidR="0017580F" w:rsidRPr="00733512">
        <w:rPr>
          <w:rFonts w:ascii="Verdana" w:hAnsi="Verdana"/>
          <w:i/>
          <w:sz w:val="20"/>
          <w:szCs w:val="20"/>
          <w:u w:val="single"/>
        </w:rPr>
        <w:t>4</w:t>
      </w:r>
      <w:r w:rsidR="0073390C" w:rsidRPr="0019162F">
        <w:rPr>
          <w:rFonts w:ascii="Verdana" w:hAnsi="Verdana"/>
          <w:sz w:val="20"/>
          <w:szCs w:val="20"/>
        </w:rPr>
        <w:t>); B. Concepto y relación</w:t>
      </w:r>
      <w:r w:rsidR="0019162F">
        <w:rPr>
          <w:rFonts w:ascii="Verdana" w:hAnsi="Verdana"/>
          <w:sz w:val="20"/>
          <w:szCs w:val="20"/>
        </w:rPr>
        <w:t xml:space="preserve"> con otros derechos </w:t>
      </w:r>
      <w:r w:rsidR="0019162F" w:rsidRPr="00C73EB2">
        <w:rPr>
          <w:rFonts w:ascii="Verdana" w:hAnsi="Verdana"/>
          <w:sz w:val="20"/>
          <w:szCs w:val="20"/>
          <w:u w:val="single"/>
        </w:rPr>
        <w:t>(</w:t>
      </w:r>
      <w:proofErr w:type="spellStart"/>
      <w:r w:rsidR="0017580F" w:rsidRPr="00C73EB2">
        <w:rPr>
          <w:rFonts w:ascii="Verdana" w:hAnsi="Verdana"/>
          <w:i/>
          <w:sz w:val="20"/>
          <w:szCs w:val="20"/>
          <w:u w:val="single"/>
        </w:rPr>
        <w:t>párrs</w:t>
      </w:r>
      <w:proofErr w:type="spellEnd"/>
      <w:r w:rsidR="0017580F" w:rsidRPr="00C73EB2">
        <w:rPr>
          <w:rFonts w:ascii="Verdana" w:hAnsi="Verdana"/>
          <w:i/>
          <w:sz w:val="20"/>
          <w:szCs w:val="20"/>
          <w:u w:val="single"/>
        </w:rPr>
        <w:t>. 55</w:t>
      </w:r>
      <w:r w:rsidR="0019162F" w:rsidRPr="00C73EB2">
        <w:rPr>
          <w:rFonts w:ascii="Verdana" w:hAnsi="Verdana"/>
          <w:i/>
          <w:sz w:val="20"/>
          <w:szCs w:val="20"/>
          <w:u w:val="single"/>
        </w:rPr>
        <w:t>-7</w:t>
      </w:r>
      <w:r w:rsidR="00C73EB2">
        <w:rPr>
          <w:rFonts w:ascii="Verdana" w:hAnsi="Verdana"/>
          <w:i/>
          <w:sz w:val="20"/>
          <w:szCs w:val="20"/>
          <w:u w:val="single"/>
        </w:rPr>
        <w:t>2</w:t>
      </w:r>
      <w:r w:rsidR="0073390C" w:rsidRPr="00C73EB2">
        <w:rPr>
          <w:rFonts w:ascii="Verdana" w:hAnsi="Verdana"/>
          <w:sz w:val="20"/>
          <w:szCs w:val="20"/>
        </w:rPr>
        <w:t>)</w:t>
      </w:r>
      <w:r w:rsidR="00BF1745" w:rsidRPr="00C73EB2">
        <w:rPr>
          <w:rFonts w:ascii="Verdana" w:hAnsi="Verdana"/>
          <w:sz w:val="20"/>
          <w:szCs w:val="20"/>
        </w:rPr>
        <w:t>;</w:t>
      </w:r>
      <w:r w:rsidR="00047B71" w:rsidRPr="0019162F">
        <w:rPr>
          <w:rFonts w:ascii="Verdana" w:hAnsi="Verdana"/>
          <w:sz w:val="20"/>
          <w:szCs w:val="20"/>
        </w:rPr>
        <w:t xml:space="preserve"> </w:t>
      </w:r>
      <w:r w:rsidR="0073390C" w:rsidRPr="0019162F">
        <w:rPr>
          <w:rFonts w:ascii="Verdana" w:hAnsi="Verdana"/>
          <w:sz w:val="20"/>
          <w:szCs w:val="20"/>
        </w:rPr>
        <w:t>C. Obligaciones de respeto y garantía (</w:t>
      </w:r>
      <w:proofErr w:type="spellStart"/>
      <w:r w:rsidR="0073390C" w:rsidRPr="00C73EB2">
        <w:rPr>
          <w:rFonts w:ascii="Verdana" w:hAnsi="Verdana"/>
          <w:i/>
          <w:sz w:val="20"/>
          <w:szCs w:val="20"/>
          <w:u w:val="single"/>
        </w:rPr>
        <w:t>párrs</w:t>
      </w:r>
      <w:proofErr w:type="spellEnd"/>
      <w:r w:rsidR="0073390C" w:rsidRPr="00C73EB2">
        <w:rPr>
          <w:rFonts w:ascii="Verdana" w:hAnsi="Verdana"/>
          <w:i/>
          <w:sz w:val="20"/>
          <w:szCs w:val="20"/>
          <w:u w:val="single"/>
        </w:rPr>
        <w:t xml:space="preserve">. </w:t>
      </w:r>
      <w:r w:rsidR="0019162F" w:rsidRPr="00C73EB2">
        <w:rPr>
          <w:rFonts w:ascii="Verdana" w:hAnsi="Verdana"/>
          <w:i/>
          <w:sz w:val="20"/>
          <w:szCs w:val="20"/>
          <w:u w:val="single"/>
        </w:rPr>
        <w:t>73-9</w:t>
      </w:r>
      <w:r w:rsidR="0017580F" w:rsidRPr="00C73EB2">
        <w:rPr>
          <w:rFonts w:ascii="Verdana" w:hAnsi="Verdana"/>
          <w:i/>
          <w:sz w:val="20"/>
          <w:szCs w:val="20"/>
          <w:u w:val="single"/>
        </w:rPr>
        <w:t>7</w:t>
      </w:r>
      <w:r w:rsidR="0073390C" w:rsidRPr="0019162F">
        <w:rPr>
          <w:rFonts w:ascii="Verdana" w:hAnsi="Verdana"/>
          <w:sz w:val="20"/>
          <w:szCs w:val="20"/>
        </w:rPr>
        <w:t xml:space="preserve">); D. </w:t>
      </w:r>
      <w:r w:rsidR="0019162F" w:rsidRPr="0019162F">
        <w:rPr>
          <w:rFonts w:ascii="Verdana" w:hAnsi="Verdana"/>
          <w:sz w:val="20"/>
          <w:szCs w:val="20"/>
        </w:rPr>
        <w:t xml:space="preserve">Corolario: el </w:t>
      </w:r>
      <w:r w:rsidR="0019162F" w:rsidRPr="0019162F">
        <w:rPr>
          <w:rFonts w:ascii="Verdana" w:hAnsi="Verdana"/>
          <w:i/>
          <w:sz w:val="20"/>
          <w:szCs w:val="20"/>
        </w:rPr>
        <w:t>derecho a la vivienda</w:t>
      </w:r>
      <w:r w:rsidR="0019162F" w:rsidRPr="0019162F">
        <w:rPr>
          <w:rFonts w:ascii="Verdana" w:hAnsi="Verdana"/>
          <w:sz w:val="20"/>
          <w:szCs w:val="20"/>
        </w:rPr>
        <w:t xml:space="preserve"> contenido en el ar</w:t>
      </w:r>
      <w:r w:rsidR="00C73EB2">
        <w:rPr>
          <w:rFonts w:ascii="Verdana" w:hAnsi="Verdana"/>
          <w:sz w:val="20"/>
          <w:szCs w:val="20"/>
        </w:rPr>
        <w:t>tículo 26 del Pacto de San José</w:t>
      </w:r>
      <w:r w:rsidR="007A217F" w:rsidRPr="0019162F">
        <w:rPr>
          <w:rFonts w:ascii="Verdana" w:hAnsi="Verdana"/>
          <w:sz w:val="20"/>
          <w:szCs w:val="20"/>
        </w:rPr>
        <w:t xml:space="preserve"> (</w:t>
      </w:r>
      <w:proofErr w:type="spellStart"/>
      <w:r w:rsidR="007A217F" w:rsidRPr="00C73EB2">
        <w:rPr>
          <w:rFonts w:ascii="Verdana" w:hAnsi="Verdana"/>
          <w:i/>
          <w:sz w:val="20"/>
          <w:szCs w:val="20"/>
          <w:u w:val="single"/>
        </w:rPr>
        <w:t>párrs</w:t>
      </w:r>
      <w:proofErr w:type="spellEnd"/>
      <w:r w:rsidR="007A217F" w:rsidRPr="00C73EB2">
        <w:rPr>
          <w:rFonts w:ascii="Verdana" w:hAnsi="Verdana"/>
          <w:i/>
          <w:sz w:val="20"/>
          <w:szCs w:val="20"/>
          <w:u w:val="single"/>
        </w:rPr>
        <w:t>.</w:t>
      </w:r>
      <w:r w:rsidR="0017580F" w:rsidRPr="00C73EB2">
        <w:rPr>
          <w:rFonts w:ascii="Verdana" w:hAnsi="Verdana"/>
          <w:i/>
          <w:sz w:val="20"/>
          <w:szCs w:val="20"/>
          <w:u w:val="single"/>
        </w:rPr>
        <w:t xml:space="preserve"> 98</w:t>
      </w:r>
      <w:r w:rsidR="0019162F" w:rsidRPr="00C73EB2">
        <w:rPr>
          <w:rFonts w:ascii="Verdana" w:hAnsi="Verdana"/>
          <w:i/>
          <w:sz w:val="20"/>
          <w:szCs w:val="20"/>
          <w:u w:val="single"/>
        </w:rPr>
        <w:t>-10</w:t>
      </w:r>
      <w:r w:rsidR="00B7366A" w:rsidRPr="00C73EB2">
        <w:rPr>
          <w:rFonts w:ascii="Verdana" w:hAnsi="Verdana"/>
          <w:i/>
          <w:sz w:val="20"/>
          <w:szCs w:val="20"/>
          <w:u w:val="single"/>
        </w:rPr>
        <w:t>5</w:t>
      </w:r>
      <w:r w:rsidR="0019162F" w:rsidRPr="00C73EB2">
        <w:rPr>
          <w:rFonts w:ascii="Verdana" w:hAnsi="Verdana"/>
          <w:sz w:val="20"/>
          <w:szCs w:val="20"/>
          <w:u w:val="single"/>
        </w:rPr>
        <w:t>)</w:t>
      </w:r>
      <w:r w:rsidR="0019162F">
        <w:rPr>
          <w:rFonts w:ascii="Verdana" w:hAnsi="Verdana"/>
          <w:sz w:val="20"/>
          <w:szCs w:val="20"/>
        </w:rPr>
        <w:t xml:space="preserve">; </w:t>
      </w:r>
      <w:r w:rsidR="007A217F" w:rsidRPr="0019162F">
        <w:rPr>
          <w:rFonts w:ascii="Verdana" w:hAnsi="Verdana"/>
          <w:b/>
          <w:i/>
          <w:sz w:val="20"/>
          <w:szCs w:val="20"/>
        </w:rPr>
        <w:t>iv</w:t>
      </w:r>
      <w:r w:rsidR="00047B71" w:rsidRPr="0019162F">
        <w:rPr>
          <w:rFonts w:ascii="Verdana" w:hAnsi="Verdana"/>
          <w:b/>
          <w:i/>
          <w:sz w:val="20"/>
          <w:szCs w:val="20"/>
        </w:rPr>
        <w:t>)</w:t>
      </w:r>
      <w:r w:rsidR="00047B71" w:rsidRPr="0019162F">
        <w:rPr>
          <w:rFonts w:ascii="Verdana" w:hAnsi="Verdana"/>
          <w:sz w:val="20"/>
          <w:szCs w:val="20"/>
        </w:rPr>
        <w:t xml:space="preserve"> </w:t>
      </w:r>
      <w:r w:rsidR="00C852E4">
        <w:rPr>
          <w:rFonts w:ascii="Verdana" w:hAnsi="Verdana"/>
          <w:sz w:val="20"/>
          <w:szCs w:val="20"/>
        </w:rPr>
        <w:t xml:space="preserve">la </w:t>
      </w:r>
      <w:r w:rsidR="00C852E4">
        <w:rPr>
          <w:rFonts w:ascii="Verdana" w:hAnsi="Verdana"/>
          <w:sz w:val="20"/>
          <w:szCs w:val="20"/>
        </w:rPr>
        <w:lastRenderedPageBreak/>
        <w:t xml:space="preserve">vulneración del </w:t>
      </w:r>
      <w:r w:rsidR="00C852E4" w:rsidRPr="00C852E4">
        <w:rPr>
          <w:rFonts w:ascii="Verdana" w:hAnsi="Verdana"/>
          <w:i/>
          <w:sz w:val="20"/>
          <w:szCs w:val="20"/>
        </w:rPr>
        <w:t>derecho a la vivienda</w:t>
      </w:r>
      <w:r w:rsidR="00C852E4">
        <w:rPr>
          <w:rFonts w:ascii="Verdana" w:hAnsi="Verdana"/>
          <w:sz w:val="20"/>
          <w:szCs w:val="20"/>
        </w:rPr>
        <w:t xml:space="preserve"> con fundamento en el principio </w:t>
      </w:r>
      <w:proofErr w:type="spellStart"/>
      <w:r w:rsidR="00591BEC">
        <w:rPr>
          <w:rFonts w:ascii="Verdana" w:hAnsi="Verdana"/>
          <w:i/>
          <w:sz w:val="20"/>
          <w:szCs w:val="20"/>
        </w:rPr>
        <w:t>iura</w:t>
      </w:r>
      <w:proofErr w:type="spellEnd"/>
      <w:r w:rsidR="00591BEC">
        <w:rPr>
          <w:rFonts w:ascii="Verdana" w:hAnsi="Verdana"/>
          <w:i/>
          <w:sz w:val="20"/>
          <w:szCs w:val="20"/>
        </w:rPr>
        <w:t xml:space="preserve"> </w:t>
      </w:r>
      <w:proofErr w:type="spellStart"/>
      <w:r w:rsidR="00591BEC">
        <w:rPr>
          <w:rFonts w:ascii="Verdana" w:hAnsi="Verdana"/>
          <w:i/>
          <w:sz w:val="20"/>
          <w:szCs w:val="20"/>
        </w:rPr>
        <w:t>novit</w:t>
      </w:r>
      <w:proofErr w:type="spellEnd"/>
      <w:r w:rsidR="00591BEC">
        <w:rPr>
          <w:rFonts w:ascii="Verdana" w:hAnsi="Verdana"/>
          <w:i/>
          <w:sz w:val="20"/>
          <w:szCs w:val="20"/>
        </w:rPr>
        <w:t xml:space="preserve"> curia</w:t>
      </w:r>
      <w:r w:rsidR="00C852E4">
        <w:rPr>
          <w:rFonts w:ascii="Verdana" w:hAnsi="Verdana"/>
          <w:i/>
          <w:sz w:val="20"/>
          <w:szCs w:val="20"/>
        </w:rPr>
        <w:t xml:space="preserve"> </w:t>
      </w:r>
      <w:r w:rsidR="0016270B">
        <w:rPr>
          <w:rFonts w:ascii="Verdana" w:hAnsi="Verdana"/>
          <w:sz w:val="20"/>
          <w:szCs w:val="20"/>
        </w:rPr>
        <w:t>(</w:t>
      </w:r>
      <w:proofErr w:type="spellStart"/>
      <w:r w:rsidR="007B4713" w:rsidRPr="00C73EB2">
        <w:rPr>
          <w:rFonts w:ascii="Verdana" w:hAnsi="Verdana"/>
          <w:sz w:val="20"/>
          <w:szCs w:val="20"/>
          <w:u w:val="single"/>
        </w:rPr>
        <w:t>párrs</w:t>
      </w:r>
      <w:proofErr w:type="spellEnd"/>
      <w:r w:rsidR="007B4713" w:rsidRPr="00C73EB2">
        <w:rPr>
          <w:rFonts w:ascii="Verdana" w:hAnsi="Verdana"/>
          <w:sz w:val="20"/>
          <w:szCs w:val="20"/>
          <w:u w:val="single"/>
        </w:rPr>
        <w:t xml:space="preserve">. </w:t>
      </w:r>
      <w:r w:rsidR="00B7366A" w:rsidRPr="00C73EB2">
        <w:rPr>
          <w:rFonts w:ascii="Verdana" w:hAnsi="Verdana"/>
          <w:i/>
          <w:sz w:val="20"/>
          <w:szCs w:val="20"/>
          <w:u w:val="single"/>
        </w:rPr>
        <w:t>106</w:t>
      </w:r>
      <w:r w:rsidR="007B4713" w:rsidRPr="00C73EB2">
        <w:rPr>
          <w:rFonts w:ascii="Verdana" w:hAnsi="Verdana"/>
          <w:i/>
          <w:sz w:val="20"/>
          <w:szCs w:val="20"/>
          <w:u w:val="single"/>
        </w:rPr>
        <w:t>-11</w:t>
      </w:r>
      <w:r w:rsidR="00FF741E" w:rsidRPr="00C73EB2">
        <w:rPr>
          <w:rFonts w:ascii="Verdana" w:hAnsi="Verdana"/>
          <w:i/>
          <w:sz w:val="20"/>
          <w:szCs w:val="20"/>
          <w:u w:val="single"/>
        </w:rPr>
        <w:t>5</w:t>
      </w:r>
      <w:r w:rsidR="00C852E4">
        <w:rPr>
          <w:rFonts w:ascii="Verdana" w:hAnsi="Verdana"/>
          <w:sz w:val="20"/>
          <w:szCs w:val="20"/>
        </w:rPr>
        <w:t xml:space="preserve">); </w:t>
      </w:r>
      <w:r w:rsidR="007B4713" w:rsidRPr="007B4713">
        <w:rPr>
          <w:rFonts w:ascii="Verdana" w:hAnsi="Verdana"/>
          <w:b/>
          <w:sz w:val="20"/>
          <w:szCs w:val="20"/>
        </w:rPr>
        <w:t>v)</w:t>
      </w:r>
      <w:r w:rsidR="007B4713">
        <w:rPr>
          <w:rFonts w:ascii="Verdana" w:hAnsi="Verdana"/>
          <w:sz w:val="20"/>
          <w:szCs w:val="20"/>
        </w:rPr>
        <w:t xml:space="preserve"> </w:t>
      </w:r>
      <w:r w:rsidR="00047B71" w:rsidRPr="007B4713">
        <w:rPr>
          <w:rFonts w:ascii="Verdana" w:hAnsi="Verdana"/>
          <w:sz w:val="20"/>
          <w:szCs w:val="20"/>
        </w:rPr>
        <w:t xml:space="preserve">el desplazamiento forzado </w:t>
      </w:r>
      <w:proofErr w:type="spellStart"/>
      <w:r w:rsidR="00047B71" w:rsidRPr="007B4713">
        <w:rPr>
          <w:rFonts w:ascii="Verdana" w:hAnsi="Verdana"/>
          <w:sz w:val="20"/>
          <w:szCs w:val="20"/>
        </w:rPr>
        <w:t>intraurbano</w:t>
      </w:r>
      <w:proofErr w:type="spellEnd"/>
      <w:r w:rsidR="00047B71" w:rsidRPr="007B4713">
        <w:rPr>
          <w:rFonts w:ascii="Verdana" w:hAnsi="Verdana"/>
          <w:sz w:val="20"/>
          <w:szCs w:val="20"/>
        </w:rPr>
        <w:t xml:space="preserve"> y su impa</w:t>
      </w:r>
      <w:r w:rsidR="00253B23" w:rsidRPr="007B4713">
        <w:rPr>
          <w:rFonts w:ascii="Verdana" w:hAnsi="Verdana"/>
          <w:sz w:val="20"/>
          <w:szCs w:val="20"/>
        </w:rPr>
        <w:t>c</w:t>
      </w:r>
      <w:r w:rsidR="000B7FD4" w:rsidRPr="007B4713">
        <w:rPr>
          <w:rFonts w:ascii="Verdana" w:hAnsi="Verdana"/>
          <w:sz w:val="20"/>
          <w:szCs w:val="20"/>
        </w:rPr>
        <w:t xml:space="preserve">to en el </w:t>
      </w:r>
      <w:r w:rsidR="000B7FD4" w:rsidRPr="007B4713">
        <w:rPr>
          <w:rFonts w:ascii="Verdana" w:hAnsi="Verdana"/>
          <w:i/>
          <w:sz w:val="20"/>
          <w:szCs w:val="20"/>
        </w:rPr>
        <w:t>derecho a la vivienda</w:t>
      </w:r>
      <w:r w:rsidR="000B7FD4" w:rsidRPr="007B4713">
        <w:rPr>
          <w:rFonts w:ascii="Verdana" w:hAnsi="Verdana"/>
          <w:sz w:val="20"/>
          <w:szCs w:val="20"/>
        </w:rPr>
        <w:t xml:space="preserve"> (</w:t>
      </w:r>
      <w:proofErr w:type="spellStart"/>
      <w:r w:rsidR="000B7FD4" w:rsidRPr="0016270B">
        <w:rPr>
          <w:rFonts w:ascii="Verdana" w:hAnsi="Verdana"/>
          <w:i/>
          <w:sz w:val="20"/>
          <w:szCs w:val="20"/>
          <w:u w:val="single"/>
        </w:rPr>
        <w:t>párrs</w:t>
      </w:r>
      <w:proofErr w:type="spellEnd"/>
      <w:r w:rsidR="000B7FD4" w:rsidRPr="0016270B">
        <w:rPr>
          <w:rFonts w:ascii="Verdana" w:hAnsi="Verdana"/>
          <w:i/>
          <w:sz w:val="20"/>
          <w:szCs w:val="20"/>
          <w:u w:val="single"/>
        </w:rPr>
        <w:t xml:space="preserve">. </w:t>
      </w:r>
      <w:r w:rsidR="00FF741E">
        <w:rPr>
          <w:rFonts w:ascii="Verdana" w:hAnsi="Verdana"/>
          <w:i/>
          <w:sz w:val="20"/>
          <w:szCs w:val="20"/>
          <w:u w:val="single"/>
        </w:rPr>
        <w:t>116</w:t>
      </w:r>
      <w:r w:rsidR="00AC36F5" w:rsidRPr="0016270B">
        <w:rPr>
          <w:rFonts w:ascii="Verdana" w:hAnsi="Verdana"/>
          <w:i/>
          <w:sz w:val="20"/>
          <w:szCs w:val="20"/>
          <w:u w:val="single"/>
        </w:rPr>
        <w:t>-14</w:t>
      </w:r>
      <w:r w:rsidR="00C73EB2">
        <w:rPr>
          <w:rFonts w:ascii="Verdana" w:hAnsi="Verdana"/>
          <w:i/>
          <w:sz w:val="20"/>
          <w:szCs w:val="20"/>
          <w:u w:val="single"/>
        </w:rPr>
        <w:t>2</w:t>
      </w:r>
      <w:r w:rsidR="00E05E9E" w:rsidRPr="007B4713">
        <w:rPr>
          <w:rFonts w:ascii="Verdana" w:hAnsi="Verdana"/>
          <w:sz w:val="20"/>
          <w:szCs w:val="20"/>
        </w:rPr>
        <w:t xml:space="preserve">); y </w:t>
      </w:r>
      <w:r w:rsidR="00E05E9E" w:rsidRPr="007B4713">
        <w:rPr>
          <w:rFonts w:ascii="Verdana" w:hAnsi="Verdana"/>
          <w:b/>
          <w:i/>
          <w:sz w:val="20"/>
          <w:szCs w:val="20"/>
        </w:rPr>
        <w:t>v</w:t>
      </w:r>
      <w:r w:rsidR="00B33E4A">
        <w:rPr>
          <w:rFonts w:ascii="Verdana" w:hAnsi="Verdana"/>
          <w:b/>
          <w:i/>
          <w:sz w:val="20"/>
          <w:szCs w:val="20"/>
        </w:rPr>
        <w:t>i</w:t>
      </w:r>
      <w:r w:rsidR="000B7FD4" w:rsidRPr="007B4713">
        <w:rPr>
          <w:rFonts w:ascii="Verdana" w:hAnsi="Verdana"/>
          <w:b/>
          <w:i/>
          <w:sz w:val="20"/>
          <w:szCs w:val="20"/>
        </w:rPr>
        <w:t>)</w:t>
      </w:r>
      <w:r w:rsidR="000B7FD4" w:rsidRPr="007B4713">
        <w:rPr>
          <w:rFonts w:ascii="Verdana" w:hAnsi="Verdana"/>
          <w:sz w:val="20"/>
          <w:szCs w:val="20"/>
        </w:rPr>
        <w:t xml:space="preserve"> conclusiones (</w:t>
      </w:r>
      <w:proofErr w:type="spellStart"/>
      <w:r w:rsidR="00BA2B60">
        <w:rPr>
          <w:rFonts w:ascii="Verdana" w:hAnsi="Verdana"/>
          <w:i/>
          <w:sz w:val="20"/>
          <w:szCs w:val="20"/>
          <w:u w:val="single"/>
        </w:rPr>
        <w:t>párrs</w:t>
      </w:r>
      <w:proofErr w:type="spellEnd"/>
      <w:r w:rsidR="00BA2B60">
        <w:rPr>
          <w:rFonts w:ascii="Verdana" w:hAnsi="Verdana"/>
          <w:i/>
          <w:sz w:val="20"/>
          <w:szCs w:val="20"/>
          <w:u w:val="single"/>
        </w:rPr>
        <w:t>. 143</w:t>
      </w:r>
      <w:r w:rsidR="00AC36F5" w:rsidRPr="0016270B">
        <w:rPr>
          <w:rFonts w:ascii="Verdana" w:hAnsi="Verdana"/>
          <w:i/>
          <w:sz w:val="20"/>
          <w:szCs w:val="20"/>
          <w:u w:val="single"/>
        </w:rPr>
        <w:t>-15</w:t>
      </w:r>
      <w:r w:rsidR="00FF741E">
        <w:rPr>
          <w:rFonts w:ascii="Verdana" w:hAnsi="Verdana"/>
          <w:i/>
          <w:sz w:val="20"/>
          <w:szCs w:val="20"/>
          <w:u w:val="single"/>
        </w:rPr>
        <w:t>0</w:t>
      </w:r>
      <w:r w:rsidR="000B7FD4" w:rsidRPr="007B4713">
        <w:rPr>
          <w:rFonts w:ascii="Verdana" w:hAnsi="Verdana"/>
          <w:sz w:val="20"/>
          <w:szCs w:val="20"/>
        </w:rPr>
        <w:t>).</w:t>
      </w:r>
    </w:p>
    <w:p w14:paraId="63DE20DB" w14:textId="77777777" w:rsidR="00AD13EB" w:rsidRDefault="00AD13EB" w:rsidP="00454C7F">
      <w:pPr>
        <w:jc w:val="both"/>
        <w:rPr>
          <w:rFonts w:ascii="Verdana" w:hAnsi="Verdana"/>
          <w:sz w:val="20"/>
          <w:szCs w:val="20"/>
        </w:rPr>
      </w:pPr>
    </w:p>
    <w:p w14:paraId="0A05B956" w14:textId="77777777" w:rsidR="00C066E4" w:rsidRPr="005A4DF1" w:rsidRDefault="00C066E4" w:rsidP="00454C7F">
      <w:pPr>
        <w:jc w:val="both"/>
        <w:rPr>
          <w:rFonts w:ascii="Verdana" w:hAnsi="Verdana"/>
          <w:sz w:val="20"/>
          <w:szCs w:val="20"/>
        </w:rPr>
      </w:pPr>
    </w:p>
    <w:p w14:paraId="15FC061A" w14:textId="772F4AAD" w:rsidR="00D17FA9" w:rsidRPr="00187189" w:rsidRDefault="00187189" w:rsidP="00AD13EB">
      <w:pPr>
        <w:pStyle w:val="ListParagraph"/>
        <w:ind w:left="0"/>
        <w:contextualSpacing w:val="0"/>
        <w:jc w:val="center"/>
        <w:rPr>
          <w:rFonts w:ascii="Verdana" w:hAnsi="Verdana"/>
          <w:caps/>
          <w:sz w:val="20"/>
          <w:szCs w:val="20"/>
        </w:rPr>
      </w:pPr>
      <w:r>
        <w:rPr>
          <w:rFonts w:ascii="Verdana" w:hAnsi="Verdana"/>
          <w:caps/>
          <w:sz w:val="20"/>
          <w:szCs w:val="20"/>
        </w:rPr>
        <w:t xml:space="preserve">I.  </w:t>
      </w:r>
      <w:r w:rsidR="00143D75" w:rsidRPr="00187189">
        <w:rPr>
          <w:rFonts w:ascii="Verdana" w:hAnsi="Verdana"/>
          <w:caps/>
          <w:sz w:val="20"/>
          <w:szCs w:val="20"/>
        </w:rPr>
        <w:t>La c</w:t>
      </w:r>
      <w:r w:rsidR="00D17FA9" w:rsidRPr="00187189">
        <w:rPr>
          <w:rFonts w:ascii="Verdana" w:hAnsi="Verdana"/>
          <w:caps/>
          <w:sz w:val="20"/>
          <w:szCs w:val="20"/>
        </w:rPr>
        <w:t xml:space="preserve">ompetencia de la Corte </w:t>
      </w:r>
      <w:r w:rsidR="00143D75" w:rsidRPr="00187189">
        <w:rPr>
          <w:rFonts w:ascii="Verdana" w:hAnsi="Verdana"/>
          <w:caps/>
          <w:sz w:val="20"/>
          <w:szCs w:val="20"/>
        </w:rPr>
        <w:t xml:space="preserve">Interamericana </w:t>
      </w:r>
      <w:r w:rsidR="00D17FA9" w:rsidRPr="00187189">
        <w:rPr>
          <w:rFonts w:ascii="Verdana" w:hAnsi="Verdana"/>
          <w:caps/>
          <w:sz w:val="20"/>
          <w:szCs w:val="20"/>
        </w:rPr>
        <w:t xml:space="preserve">para pronunciarse sobre el artículo 26 de la Convención </w:t>
      </w:r>
      <w:r w:rsidR="00143D75" w:rsidRPr="00187189">
        <w:rPr>
          <w:rFonts w:ascii="Verdana" w:hAnsi="Verdana"/>
          <w:caps/>
          <w:sz w:val="20"/>
          <w:szCs w:val="20"/>
        </w:rPr>
        <w:t xml:space="preserve">Americana </w:t>
      </w:r>
      <w:r w:rsidR="00D17FA9" w:rsidRPr="00187189">
        <w:rPr>
          <w:rFonts w:ascii="Verdana" w:hAnsi="Verdana"/>
          <w:caps/>
          <w:sz w:val="20"/>
          <w:szCs w:val="20"/>
        </w:rPr>
        <w:t xml:space="preserve">y </w:t>
      </w:r>
      <w:r w:rsidR="00143D75" w:rsidRPr="00187189">
        <w:rPr>
          <w:rFonts w:ascii="Verdana" w:hAnsi="Verdana"/>
          <w:caps/>
          <w:sz w:val="20"/>
          <w:szCs w:val="20"/>
        </w:rPr>
        <w:t xml:space="preserve">el </w:t>
      </w:r>
      <w:r w:rsidR="00D17FA9" w:rsidRPr="00187189">
        <w:rPr>
          <w:rFonts w:ascii="Verdana" w:hAnsi="Verdana"/>
          <w:caps/>
          <w:sz w:val="20"/>
          <w:szCs w:val="20"/>
        </w:rPr>
        <w:t>reconocimiento</w:t>
      </w:r>
      <w:r w:rsidR="00AD13EB" w:rsidRPr="00187189">
        <w:rPr>
          <w:rFonts w:ascii="Verdana" w:hAnsi="Verdana"/>
          <w:caps/>
          <w:sz w:val="20"/>
          <w:szCs w:val="20"/>
        </w:rPr>
        <w:t xml:space="preserve"> </w:t>
      </w:r>
      <w:r w:rsidR="00D17FA9" w:rsidRPr="00187189">
        <w:rPr>
          <w:rFonts w:ascii="Verdana" w:hAnsi="Verdana"/>
          <w:caps/>
          <w:sz w:val="20"/>
          <w:szCs w:val="20"/>
        </w:rPr>
        <w:t>de derechos en esa norma</w:t>
      </w:r>
    </w:p>
    <w:p w14:paraId="0082C3A1" w14:textId="77777777" w:rsidR="00D17FA9" w:rsidRPr="005A4DF1" w:rsidRDefault="00D17FA9" w:rsidP="00454C7F">
      <w:pPr>
        <w:pStyle w:val="ListParagraph"/>
        <w:ind w:left="0"/>
        <w:contextualSpacing w:val="0"/>
        <w:jc w:val="both"/>
        <w:rPr>
          <w:rFonts w:ascii="Verdana" w:hAnsi="Verdana"/>
          <w:sz w:val="20"/>
          <w:szCs w:val="20"/>
        </w:rPr>
      </w:pPr>
    </w:p>
    <w:p w14:paraId="3397A319" w14:textId="2529258E" w:rsidR="00D17FA9" w:rsidRPr="005A4DF1" w:rsidRDefault="00E05E9E" w:rsidP="00454C7F">
      <w:pPr>
        <w:pStyle w:val="ListParagraph"/>
        <w:ind w:left="0"/>
        <w:contextualSpacing w:val="0"/>
        <w:jc w:val="both"/>
        <w:rPr>
          <w:rFonts w:ascii="Verdana" w:hAnsi="Verdana"/>
          <w:sz w:val="20"/>
          <w:szCs w:val="20"/>
        </w:rPr>
      </w:pPr>
      <w:r w:rsidRPr="005A4DF1">
        <w:rPr>
          <w:rFonts w:ascii="Verdana" w:hAnsi="Verdana"/>
          <w:sz w:val="20"/>
          <w:szCs w:val="20"/>
        </w:rPr>
        <w:t>8</w:t>
      </w:r>
      <w:r w:rsidR="00D17FA9" w:rsidRPr="005A4DF1">
        <w:rPr>
          <w:rFonts w:ascii="Verdana" w:hAnsi="Verdana"/>
          <w:sz w:val="20"/>
          <w:szCs w:val="20"/>
        </w:rPr>
        <w:t>.</w:t>
      </w:r>
      <w:r w:rsidR="00D17FA9" w:rsidRPr="005A4DF1">
        <w:rPr>
          <w:rFonts w:ascii="Verdana" w:hAnsi="Verdana"/>
          <w:sz w:val="20"/>
          <w:szCs w:val="20"/>
        </w:rPr>
        <w:tab/>
        <w:t xml:space="preserve">El artículo 61 de la Convención </w:t>
      </w:r>
      <w:r w:rsidR="00135E5A" w:rsidRPr="005A4DF1">
        <w:rPr>
          <w:rFonts w:ascii="Verdana" w:hAnsi="Verdana"/>
          <w:sz w:val="20"/>
          <w:szCs w:val="20"/>
        </w:rPr>
        <w:t xml:space="preserve">Americana </w:t>
      </w:r>
      <w:r w:rsidR="00D17FA9" w:rsidRPr="005A4DF1">
        <w:rPr>
          <w:rFonts w:ascii="Verdana" w:hAnsi="Verdana"/>
          <w:sz w:val="20"/>
          <w:szCs w:val="20"/>
        </w:rPr>
        <w:t xml:space="preserve">indica que a la Corte </w:t>
      </w:r>
      <w:r w:rsidR="00135E5A" w:rsidRPr="005A4DF1">
        <w:rPr>
          <w:rFonts w:ascii="Verdana" w:hAnsi="Verdana"/>
          <w:sz w:val="20"/>
          <w:szCs w:val="20"/>
        </w:rPr>
        <w:t xml:space="preserve">IDH </w:t>
      </w:r>
      <w:r w:rsidR="00D17FA9" w:rsidRPr="005A4DF1">
        <w:rPr>
          <w:rFonts w:ascii="Verdana" w:hAnsi="Verdana"/>
          <w:sz w:val="20"/>
          <w:szCs w:val="20"/>
        </w:rPr>
        <w:t>puede serle sometido “un caso”. Al re</w:t>
      </w:r>
      <w:r w:rsidR="00135E5A" w:rsidRPr="005A4DF1">
        <w:rPr>
          <w:rFonts w:ascii="Verdana" w:hAnsi="Verdana"/>
          <w:sz w:val="20"/>
          <w:szCs w:val="20"/>
        </w:rPr>
        <w:t>s</w:t>
      </w:r>
      <w:r w:rsidR="00D17FA9" w:rsidRPr="005A4DF1">
        <w:rPr>
          <w:rFonts w:ascii="Verdana" w:hAnsi="Verdana"/>
          <w:sz w:val="20"/>
          <w:szCs w:val="20"/>
        </w:rPr>
        <w:t>pecto, el artículo 62 del tratado señala que los Estados pueden reconocer la “competencia de la Corte sob</w:t>
      </w:r>
      <w:r w:rsidR="00135E5A" w:rsidRPr="005A4DF1">
        <w:rPr>
          <w:rFonts w:ascii="Verdana" w:hAnsi="Verdana"/>
          <w:sz w:val="20"/>
          <w:szCs w:val="20"/>
        </w:rPr>
        <w:t>re todos los casos relativos a</w:t>
      </w:r>
      <w:r w:rsidR="00D17FA9" w:rsidRPr="005A4DF1">
        <w:rPr>
          <w:rFonts w:ascii="Verdana" w:hAnsi="Verdana"/>
          <w:sz w:val="20"/>
          <w:szCs w:val="20"/>
        </w:rPr>
        <w:t xml:space="preserve"> la interpretación o aplicación de la Convención” y que cuando se reconozca dicha competencia “[l]a Corte [la] tiene […] para conocer de cualquier caso relativo a la interpretació</w:t>
      </w:r>
      <w:r w:rsidR="00135E5A" w:rsidRPr="005A4DF1">
        <w:rPr>
          <w:rFonts w:ascii="Verdana" w:hAnsi="Verdana"/>
          <w:sz w:val="20"/>
          <w:szCs w:val="20"/>
        </w:rPr>
        <w:t>n y aplicación de las disposicio</w:t>
      </w:r>
      <w:r w:rsidR="00D17FA9" w:rsidRPr="005A4DF1">
        <w:rPr>
          <w:rFonts w:ascii="Verdana" w:hAnsi="Verdana"/>
          <w:sz w:val="20"/>
          <w:szCs w:val="20"/>
        </w:rPr>
        <w:t>nes de [la] Convención que le sea sometido”. En el marco de su competencia, corresponde a</w:t>
      </w:r>
      <w:r w:rsidR="00135E5A" w:rsidRPr="005A4DF1">
        <w:rPr>
          <w:rFonts w:ascii="Verdana" w:hAnsi="Verdana"/>
          <w:sz w:val="20"/>
          <w:szCs w:val="20"/>
        </w:rPr>
        <w:t>l Tribunal Interamericano</w:t>
      </w:r>
      <w:r w:rsidR="00D17FA9" w:rsidRPr="005A4DF1">
        <w:rPr>
          <w:rFonts w:ascii="Verdana" w:hAnsi="Verdana"/>
          <w:sz w:val="20"/>
          <w:szCs w:val="20"/>
        </w:rPr>
        <w:t>, de acuerdo al artículo 63 del Pacto de San José, “</w:t>
      </w:r>
      <w:proofErr w:type="gramStart"/>
      <w:r w:rsidR="00D17FA9" w:rsidRPr="005A4DF1">
        <w:rPr>
          <w:rFonts w:ascii="Verdana" w:hAnsi="Verdana"/>
          <w:sz w:val="20"/>
          <w:szCs w:val="20"/>
        </w:rPr>
        <w:t>decid[</w:t>
      </w:r>
      <w:proofErr w:type="gramEnd"/>
      <w:r w:rsidR="00D17FA9" w:rsidRPr="005A4DF1">
        <w:rPr>
          <w:rFonts w:ascii="Verdana" w:hAnsi="Verdana"/>
          <w:sz w:val="20"/>
          <w:szCs w:val="20"/>
        </w:rPr>
        <w:t>ir si] hubo violación de un derecho o libe</w:t>
      </w:r>
      <w:r w:rsidR="00135E5A" w:rsidRPr="005A4DF1">
        <w:rPr>
          <w:rFonts w:ascii="Verdana" w:hAnsi="Verdana"/>
          <w:sz w:val="20"/>
          <w:szCs w:val="20"/>
        </w:rPr>
        <w:t>r</w:t>
      </w:r>
      <w:r w:rsidR="00ED18BE">
        <w:rPr>
          <w:rFonts w:ascii="Verdana" w:hAnsi="Verdana"/>
          <w:sz w:val="20"/>
          <w:szCs w:val="20"/>
        </w:rPr>
        <w:t>tad pro</w:t>
      </w:r>
      <w:r w:rsidR="00D17FA9" w:rsidRPr="005A4DF1">
        <w:rPr>
          <w:rFonts w:ascii="Verdana" w:hAnsi="Verdana"/>
          <w:sz w:val="20"/>
          <w:szCs w:val="20"/>
        </w:rPr>
        <w:t>tegidos en [la] Convención”.</w:t>
      </w:r>
    </w:p>
    <w:p w14:paraId="5B58C4FB" w14:textId="77777777" w:rsidR="00D17FA9" w:rsidRPr="005A4DF1" w:rsidRDefault="00D17FA9" w:rsidP="00454C7F">
      <w:pPr>
        <w:pStyle w:val="ListParagraph"/>
        <w:ind w:left="0"/>
        <w:contextualSpacing w:val="0"/>
        <w:jc w:val="both"/>
        <w:rPr>
          <w:rFonts w:ascii="Verdana" w:hAnsi="Verdana"/>
          <w:sz w:val="20"/>
          <w:szCs w:val="20"/>
        </w:rPr>
      </w:pPr>
    </w:p>
    <w:p w14:paraId="315EE237" w14:textId="2E44171F" w:rsidR="00135E5A" w:rsidRPr="005A4DF1" w:rsidRDefault="00E05E9E" w:rsidP="00454C7F">
      <w:pPr>
        <w:pStyle w:val="ListParagraph"/>
        <w:ind w:left="0"/>
        <w:contextualSpacing w:val="0"/>
        <w:jc w:val="both"/>
        <w:rPr>
          <w:rFonts w:ascii="Verdana" w:hAnsi="Verdana"/>
          <w:sz w:val="20"/>
          <w:szCs w:val="20"/>
        </w:rPr>
      </w:pPr>
      <w:r w:rsidRPr="005A4DF1">
        <w:rPr>
          <w:rFonts w:ascii="Verdana" w:hAnsi="Verdana"/>
          <w:sz w:val="20"/>
          <w:szCs w:val="20"/>
        </w:rPr>
        <w:t>9</w:t>
      </w:r>
      <w:r w:rsidR="00D17FA9" w:rsidRPr="005A4DF1">
        <w:rPr>
          <w:rFonts w:ascii="Verdana" w:hAnsi="Verdana"/>
          <w:sz w:val="20"/>
          <w:szCs w:val="20"/>
        </w:rPr>
        <w:t>.</w:t>
      </w:r>
      <w:r w:rsidR="00D17FA9" w:rsidRPr="005A4DF1">
        <w:rPr>
          <w:rFonts w:ascii="Verdana" w:hAnsi="Verdana"/>
          <w:sz w:val="20"/>
          <w:szCs w:val="20"/>
        </w:rPr>
        <w:tab/>
        <w:t xml:space="preserve">Las normas son claras en cuanto a que la competencia de la Corte </w:t>
      </w:r>
      <w:r w:rsidR="00ED18BE">
        <w:rPr>
          <w:rFonts w:ascii="Verdana" w:hAnsi="Verdana"/>
          <w:sz w:val="20"/>
          <w:szCs w:val="20"/>
        </w:rPr>
        <w:t xml:space="preserve">IDH </w:t>
      </w:r>
      <w:r w:rsidR="00D17FA9" w:rsidRPr="005A4DF1">
        <w:rPr>
          <w:rFonts w:ascii="Verdana" w:hAnsi="Verdana"/>
          <w:sz w:val="20"/>
          <w:szCs w:val="20"/>
        </w:rPr>
        <w:t>respecto a un “caso” que sea sometido a su conocimiento</w:t>
      </w:r>
      <w:r w:rsidR="00135E5A" w:rsidRPr="005A4DF1">
        <w:rPr>
          <w:rFonts w:ascii="Verdana" w:hAnsi="Verdana"/>
          <w:sz w:val="20"/>
          <w:szCs w:val="20"/>
        </w:rPr>
        <w:t xml:space="preserve">, </w:t>
      </w:r>
      <w:r w:rsidR="00FF741E">
        <w:rPr>
          <w:rFonts w:ascii="Verdana" w:hAnsi="Verdana"/>
          <w:sz w:val="20"/>
          <w:szCs w:val="20"/>
        </w:rPr>
        <w:t xml:space="preserve">pues </w:t>
      </w:r>
      <w:r w:rsidR="00135E5A" w:rsidRPr="005A4DF1">
        <w:rPr>
          <w:rFonts w:ascii="Verdana" w:hAnsi="Verdana"/>
          <w:sz w:val="20"/>
          <w:szCs w:val="20"/>
        </w:rPr>
        <w:t>comprende</w:t>
      </w:r>
      <w:r w:rsidR="00D17FA9" w:rsidRPr="005A4DF1">
        <w:rPr>
          <w:rFonts w:ascii="Verdana" w:hAnsi="Verdana"/>
          <w:sz w:val="20"/>
          <w:szCs w:val="20"/>
        </w:rPr>
        <w:t xml:space="preserve"> todas las “disposiciones” de la Convención</w:t>
      </w:r>
      <w:r w:rsidR="00135E5A" w:rsidRPr="005A4DF1">
        <w:rPr>
          <w:rFonts w:ascii="Verdana" w:hAnsi="Verdana"/>
          <w:sz w:val="20"/>
          <w:szCs w:val="20"/>
        </w:rPr>
        <w:t xml:space="preserve"> Americana</w:t>
      </w:r>
      <w:r w:rsidR="00D17FA9" w:rsidRPr="005A4DF1">
        <w:rPr>
          <w:rFonts w:ascii="Verdana" w:hAnsi="Verdana"/>
          <w:sz w:val="20"/>
          <w:szCs w:val="20"/>
        </w:rPr>
        <w:t xml:space="preserve">, así como los “derecho[s] o libertad[es] protegidos” por ella, sin distinción. Por lo tanto, la Corte </w:t>
      </w:r>
      <w:r w:rsidR="00135E5A" w:rsidRPr="005A4DF1">
        <w:rPr>
          <w:rFonts w:ascii="Verdana" w:hAnsi="Verdana"/>
          <w:sz w:val="20"/>
          <w:szCs w:val="20"/>
        </w:rPr>
        <w:t xml:space="preserve">IDH </w:t>
      </w:r>
      <w:r w:rsidR="00D17FA9" w:rsidRPr="005A4DF1">
        <w:rPr>
          <w:rFonts w:ascii="Verdana" w:hAnsi="Verdana"/>
          <w:sz w:val="20"/>
          <w:szCs w:val="20"/>
        </w:rPr>
        <w:t xml:space="preserve">tiene competencia respecto al artículo 26 del Pacto de San José, que se inserta en la Parte I del tratado, denominada “Deberes de los Estados y Derechos Protegidos”, en su Capítulo III, llamado “Derechos Económicos, Sociales y Culturales”. </w:t>
      </w:r>
      <w:r w:rsidR="00135E5A" w:rsidRPr="005A4DF1">
        <w:rPr>
          <w:rFonts w:ascii="Verdana" w:hAnsi="Verdana"/>
          <w:sz w:val="20"/>
          <w:szCs w:val="20"/>
        </w:rPr>
        <w:t>Dicho artículo dispone:</w:t>
      </w:r>
    </w:p>
    <w:p w14:paraId="01347B7E" w14:textId="77777777" w:rsidR="00135E5A" w:rsidRPr="005A4DF1" w:rsidRDefault="00135E5A" w:rsidP="00454C7F">
      <w:pPr>
        <w:pStyle w:val="ListParagraph"/>
        <w:ind w:left="0"/>
        <w:contextualSpacing w:val="0"/>
        <w:jc w:val="both"/>
        <w:rPr>
          <w:rFonts w:ascii="Verdana" w:hAnsi="Verdana"/>
          <w:sz w:val="20"/>
          <w:szCs w:val="20"/>
        </w:rPr>
      </w:pPr>
    </w:p>
    <w:p w14:paraId="1E750DFA" w14:textId="77777777" w:rsidR="00135E5A" w:rsidRPr="0070163D" w:rsidRDefault="00135E5A" w:rsidP="00AD13EB">
      <w:pPr>
        <w:pStyle w:val="ListParagraph"/>
        <w:ind w:left="0"/>
        <w:jc w:val="center"/>
        <w:rPr>
          <w:rFonts w:ascii="Verdana" w:hAnsi="Verdana" w:cs="Tahoma"/>
          <w:bCs/>
          <w:sz w:val="16"/>
          <w:szCs w:val="16"/>
        </w:rPr>
      </w:pPr>
      <w:r w:rsidRPr="0070163D">
        <w:rPr>
          <w:rFonts w:ascii="Verdana" w:hAnsi="Verdana" w:cs="Tahoma"/>
          <w:bCs/>
          <w:sz w:val="16"/>
          <w:szCs w:val="16"/>
        </w:rPr>
        <w:t>DERECHOS ECONÓMICOS, SOCIALES Y CULTURALES</w:t>
      </w:r>
    </w:p>
    <w:p w14:paraId="0BA5DF8E" w14:textId="77777777" w:rsidR="00135E5A" w:rsidRPr="0070163D" w:rsidRDefault="00135E5A" w:rsidP="00AD13EB">
      <w:pPr>
        <w:pStyle w:val="ListParagraph"/>
        <w:ind w:left="0"/>
        <w:jc w:val="center"/>
        <w:rPr>
          <w:rFonts w:ascii="Verdana" w:hAnsi="Verdana" w:cs="Tahoma"/>
          <w:bCs/>
          <w:sz w:val="16"/>
          <w:szCs w:val="16"/>
        </w:rPr>
      </w:pPr>
      <w:r w:rsidRPr="0070163D">
        <w:rPr>
          <w:rFonts w:ascii="Verdana" w:hAnsi="Verdana" w:cs="Tahoma"/>
          <w:bCs/>
          <w:sz w:val="16"/>
          <w:szCs w:val="16"/>
        </w:rPr>
        <w:t>Artículo 26.  Desarrollo Progresivo</w:t>
      </w:r>
    </w:p>
    <w:p w14:paraId="757DF2BF" w14:textId="77777777" w:rsidR="00135E5A" w:rsidRPr="0070163D" w:rsidRDefault="00135E5A" w:rsidP="00454C7F">
      <w:pPr>
        <w:pStyle w:val="ListParagraph"/>
        <w:ind w:left="0"/>
        <w:jc w:val="both"/>
        <w:rPr>
          <w:rFonts w:ascii="Verdana" w:hAnsi="Verdana" w:cs="Tahoma"/>
          <w:bCs/>
          <w:sz w:val="16"/>
          <w:szCs w:val="16"/>
        </w:rPr>
      </w:pPr>
    </w:p>
    <w:p w14:paraId="7BD67102" w14:textId="2B53C775" w:rsidR="00135E5A" w:rsidRPr="0070163D" w:rsidRDefault="00135E5A" w:rsidP="00454C7F">
      <w:pPr>
        <w:pStyle w:val="ListParagraph"/>
        <w:ind w:left="708" w:right="616"/>
        <w:jc w:val="both"/>
        <w:rPr>
          <w:rFonts w:ascii="Verdana" w:hAnsi="Verdana" w:cs="Tahoma"/>
          <w:sz w:val="16"/>
          <w:szCs w:val="16"/>
        </w:rPr>
      </w:pPr>
      <w:r w:rsidRPr="0070163D">
        <w:rPr>
          <w:rFonts w:ascii="Verdana" w:hAnsi="Verdana" w:cs="Tahoma"/>
          <w:sz w:val="16"/>
          <w:szCs w:val="16"/>
          <w:u w:val="single"/>
        </w:rPr>
        <w:t>Los Estados Partes se comprometen a adoptar providencias</w:t>
      </w:r>
      <w:r w:rsidRPr="0070163D">
        <w:rPr>
          <w:rFonts w:ascii="Verdana" w:hAnsi="Verdana" w:cs="Tahoma"/>
          <w:sz w:val="16"/>
          <w:szCs w:val="16"/>
        </w:rPr>
        <w:t xml:space="preserve">, tanto a nivel interno como mediante la cooperación internacional, especialmente económica y técnica, </w:t>
      </w:r>
      <w:r w:rsidRPr="0070163D">
        <w:rPr>
          <w:rFonts w:ascii="Verdana" w:hAnsi="Verdana" w:cs="Tahoma"/>
          <w:sz w:val="16"/>
          <w:szCs w:val="16"/>
          <w:u w:val="single"/>
        </w:rPr>
        <w:t>para lograr progresivamente la plena efectividad de los derechos que se derivan de las normas económicas, sociales y sobre educación, ciencia y cultura, contenidas en la Carta de la Organización de los Estados Americanos</w:t>
      </w:r>
      <w:r w:rsidRPr="0070163D">
        <w:rPr>
          <w:rFonts w:ascii="Verdana" w:hAnsi="Verdana" w:cs="Tahoma"/>
          <w:sz w:val="16"/>
          <w:szCs w:val="16"/>
        </w:rPr>
        <w:t>, reformada por el Protocolo de Buenos Aires, en la medida de los recursos disponibles, por vía legislativa u otros medios apropiados. (Subrayado añadido)</w:t>
      </w:r>
      <w:r w:rsidR="00ED18BE" w:rsidRPr="0070163D">
        <w:rPr>
          <w:rFonts w:ascii="Verdana" w:hAnsi="Verdana" w:cs="Tahoma"/>
          <w:sz w:val="16"/>
          <w:szCs w:val="16"/>
        </w:rPr>
        <w:t>.</w:t>
      </w:r>
    </w:p>
    <w:p w14:paraId="3E67D07E" w14:textId="77777777" w:rsidR="00D17FA9" w:rsidRPr="005A4DF1" w:rsidRDefault="00D17FA9" w:rsidP="00454C7F">
      <w:pPr>
        <w:pStyle w:val="ListParagraph"/>
        <w:ind w:left="0"/>
        <w:contextualSpacing w:val="0"/>
        <w:jc w:val="both"/>
        <w:rPr>
          <w:rFonts w:ascii="Verdana" w:hAnsi="Verdana"/>
          <w:sz w:val="20"/>
          <w:szCs w:val="20"/>
        </w:rPr>
      </w:pPr>
    </w:p>
    <w:p w14:paraId="0E98F357" w14:textId="28972AA0" w:rsidR="00E05E9E" w:rsidRPr="005A4DF1" w:rsidRDefault="00E05E9E" w:rsidP="00454C7F">
      <w:pPr>
        <w:jc w:val="both"/>
        <w:rPr>
          <w:rFonts w:ascii="Verdana" w:hAnsi="Verdana"/>
          <w:sz w:val="20"/>
          <w:szCs w:val="20"/>
        </w:rPr>
      </w:pPr>
      <w:r w:rsidRPr="005A4DF1">
        <w:rPr>
          <w:rFonts w:ascii="Verdana" w:hAnsi="Verdana"/>
          <w:sz w:val="20"/>
          <w:szCs w:val="20"/>
        </w:rPr>
        <w:t xml:space="preserve">10. </w:t>
      </w:r>
      <w:r w:rsidRPr="005A4DF1">
        <w:rPr>
          <w:rFonts w:ascii="Verdana" w:hAnsi="Verdana"/>
          <w:sz w:val="20"/>
          <w:szCs w:val="20"/>
        </w:rPr>
        <w:tab/>
      </w:r>
      <w:r w:rsidR="00A73E26">
        <w:rPr>
          <w:rFonts w:ascii="Verdana" w:hAnsi="Verdana"/>
          <w:sz w:val="20"/>
          <w:szCs w:val="20"/>
        </w:rPr>
        <w:t>E</w:t>
      </w:r>
      <w:r w:rsidR="00FF741E">
        <w:rPr>
          <w:rFonts w:ascii="Verdana" w:hAnsi="Verdana"/>
          <w:sz w:val="20"/>
          <w:szCs w:val="20"/>
        </w:rPr>
        <w:t xml:space="preserve">l </w:t>
      </w:r>
      <w:r w:rsidR="00135E5A" w:rsidRPr="005A4DF1">
        <w:rPr>
          <w:rFonts w:ascii="Verdana" w:hAnsi="Verdana"/>
          <w:sz w:val="20"/>
          <w:szCs w:val="20"/>
        </w:rPr>
        <w:t xml:space="preserve">artículo 26 de la Convención Americana remite a la Carta de la OEA para lograr progresivamente la </w:t>
      </w:r>
      <w:r w:rsidR="00135E5A" w:rsidRPr="005A4DF1">
        <w:rPr>
          <w:rFonts w:ascii="Verdana" w:hAnsi="Verdana"/>
          <w:i/>
          <w:sz w:val="20"/>
          <w:szCs w:val="20"/>
        </w:rPr>
        <w:t>plena efectividad de los derechos</w:t>
      </w:r>
      <w:r w:rsidR="00135E5A" w:rsidRPr="005A4DF1">
        <w:rPr>
          <w:rFonts w:ascii="Verdana" w:hAnsi="Verdana"/>
          <w:sz w:val="20"/>
          <w:szCs w:val="20"/>
        </w:rPr>
        <w:t xml:space="preserve"> </w:t>
      </w:r>
      <w:r w:rsidR="00135E5A" w:rsidRPr="005A4DF1">
        <w:rPr>
          <w:rFonts w:ascii="Verdana" w:hAnsi="Verdana"/>
          <w:i/>
          <w:sz w:val="20"/>
          <w:szCs w:val="20"/>
        </w:rPr>
        <w:t>que</w:t>
      </w:r>
      <w:r w:rsidR="00135E5A" w:rsidRPr="005A4DF1">
        <w:rPr>
          <w:rFonts w:ascii="Verdana" w:hAnsi="Verdana"/>
          <w:sz w:val="20"/>
          <w:szCs w:val="20"/>
        </w:rPr>
        <w:t xml:space="preserve"> se </w:t>
      </w:r>
      <w:r w:rsidR="00135E5A" w:rsidRPr="005A4DF1">
        <w:rPr>
          <w:rFonts w:ascii="Verdana" w:hAnsi="Verdana"/>
          <w:i/>
          <w:sz w:val="20"/>
          <w:szCs w:val="20"/>
        </w:rPr>
        <w:t>deriven de las normas</w:t>
      </w:r>
      <w:r w:rsidR="00135E5A" w:rsidRPr="005A4DF1">
        <w:rPr>
          <w:rFonts w:ascii="Verdana" w:hAnsi="Verdana"/>
          <w:sz w:val="20"/>
          <w:szCs w:val="20"/>
        </w:rPr>
        <w:t xml:space="preserve"> económicas, sociales, educación, ciencia y cultura, contenidos en dicha Carta</w:t>
      </w:r>
      <w:r w:rsidR="00135E5A" w:rsidRPr="005A4DF1">
        <w:rPr>
          <w:rStyle w:val="FootnoteReference"/>
          <w:rFonts w:ascii="Verdana" w:hAnsi="Verdana"/>
          <w:sz w:val="20"/>
          <w:szCs w:val="20"/>
        </w:rPr>
        <w:footnoteReference w:id="5"/>
      </w:r>
      <w:r w:rsidR="00135E5A" w:rsidRPr="005A4DF1">
        <w:rPr>
          <w:rFonts w:ascii="Verdana" w:hAnsi="Verdana"/>
          <w:sz w:val="20"/>
          <w:szCs w:val="20"/>
        </w:rPr>
        <w:t>.</w:t>
      </w:r>
    </w:p>
    <w:p w14:paraId="1A704285" w14:textId="4F5EFAC5" w:rsidR="00135E5A" w:rsidRPr="005A4DF1" w:rsidRDefault="00E05E9E" w:rsidP="00454C7F">
      <w:pPr>
        <w:jc w:val="both"/>
        <w:rPr>
          <w:rFonts w:ascii="Verdana" w:hAnsi="Verdana"/>
          <w:sz w:val="20"/>
          <w:szCs w:val="20"/>
        </w:rPr>
      </w:pPr>
      <w:r w:rsidRPr="005A4DF1">
        <w:rPr>
          <w:rFonts w:ascii="Verdana" w:hAnsi="Verdana"/>
          <w:sz w:val="20"/>
          <w:szCs w:val="20"/>
        </w:rPr>
        <w:lastRenderedPageBreak/>
        <w:t xml:space="preserve">11. </w:t>
      </w:r>
      <w:r w:rsidRPr="005A4DF1">
        <w:rPr>
          <w:rFonts w:ascii="Verdana" w:hAnsi="Verdana"/>
          <w:sz w:val="20"/>
          <w:szCs w:val="20"/>
        </w:rPr>
        <w:tab/>
      </w:r>
      <w:r w:rsidR="00135E5A" w:rsidRPr="005A4DF1">
        <w:rPr>
          <w:rFonts w:ascii="Verdana" w:hAnsi="Verdana"/>
          <w:sz w:val="20"/>
          <w:szCs w:val="20"/>
        </w:rPr>
        <w:t xml:space="preserve">La posibilidad de que este Tribunal Interamericano se pronuncie sobre los derechos económicos, sociales y culturales, deriva de la interdependencia e indivisibilidad de todos los derechos. En este tenor, en el caso </w:t>
      </w:r>
      <w:r w:rsidR="00135E5A" w:rsidRPr="005A4DF1">
        <w:rPr>
          <w:rFonts w:ascii="Verdana" w:hAnsi="Verdana"/>
          <w:i/>
          <w:sz w:val="20"/>
          <w:szCs w:val="20"/>
        </w:rPr>
        <w:t>A</w:t>
      </w:r>
      <w:r w:rsidR="00135E5A" w:rsidRPr="005A4DF1">
        <w:rPr>
          <w:rFonts w:ascii="Verdana" w:hAnsi="Verdana" w:cs="Verdana"/>
          <w:bCs/>
          <w:i/>
          <w:sz w:val="20"/>
          <w:szCs w:val="20"/>
        </w:rPr>
        <w:t>cevedo Buendía y otros (“Cesantes y Jubilados de la Contraloría”) Vs. Perú</w:t>
      </w:r>
      <w:r w:rsidR="00ED18BE">
        <w:rPr>
          <w:rFonts w:ascii="Verdana" w:hAnsi="Verdana" w:cs="Verdana"/>
          <w:bCs/>
          <w:i/>
          <w:sz w:val="20"/>
          <w:szCs w:val="20"/>
        </w:rPr>
        <w:t xml:space="preserve"> </w:t>
      </w:r>
      <w:r w:rsidR="00ED18BE">
        <w:rPr>
          <w:rFonts w:ascii="Verdana" w:hAnsi="Verdana" w:cs="Verdana"/>
          <w:bCs/>
          <w:sz w:val="20"/>
          <w:szCs w:val="20"/>
        </w:rPr>
        <w:t>(2009),</w:t>
      </w:r>
      <w:r w:rsidR="00135E5A" w:rsidRPr="005A4DF1">
        <w:rPr>
          <w:rFonts w:ascii="Verdana" w:hAnsi="Verdana" w:cs="Verdana"/>
          <w:bCs/>
          <w:i/>
          <w:sz w:val="20"/>
          <w:szCs w:val="20"/>
        </w:rPr>
        <w:t xml:space="preserve"> </w:t>
      </w:r>
      <w:r w:rsidR="00135E5A" w:rsidRPr="005A4DF1">
        <w:rPr>
          <w:rFonts w:ascii="Verdana" w:hAnsi="Verdana" w:cs="Verdana"/>
          <w:bCs/>
          <w:sz w:val="20"/>
          <w:szCs w:val="20"/>
        </w:rPr>
        <w:t xml:space="preserve">la Corte IDH expresó </w:t>
      </w:r>
      <w:proofErr w:type="gramStart"/>
      <w:r w:rsidR="00135E5A" w:rsidRPr="005A4DF1">
        <w:rPr>
          <w:rFonts w:ascii="Verdana" w:hAnsi="Verdana" w:cs="Verdana"/>
          <w:bCs/>
          <w:sz w:val="20"/>
          <w:szCs w:val="20"/>
        </w:rPr>
        <w:t>que :</w:t>
      </w:r>
      <w:proofErr w:type="gramEnd"/>
      <w:r w:rsidR="00135E5A" w:rsidRPr="005A4DF1">
        <w:rPr>
          <w:rFonts w:ascii="Verdana" w:hAnsi="Verdana" w:cs="Verdana"/>
          <w:bCs/>
          <w:sz w:val="20"/>
          <w:szCs w:val="20"/>
        </w:rPr>
        <w:t xml:space="preserve"> </w:t>
      </w:r>
    </w:p>
    <w:p w14:paraId="5FB4969F" w14:textId="77777777" w:rsidR="00135E5A" w:rsidRPr="0070163D" w:rsidRDefault="00135E5A" w:rsidP="00B16B13">
      <w:pPr>
        <w:tabs>
          <w:tab w:val="left" w:pos="7797"/>
        </w:tabs>
        <w:spacing w:before="100" w:beforeAutospacing="1" w:after="100" w:afterAutospacing="1"/>
        <w:ind w:left="708" w:right="616"/>
        <w:jc w:val="both"/>
        <w:rPr>
          <w:rFonts w:ascii="Verdana" w:hAnsi="Verdana" w:cs="Times New Roman"/>
          <w:sz w:val="16"/>
          <w:szCs w:val="16"/>
        </w:rPr>
      </w:pPr>
      <w:r w:rsidRPr="0070163D">
        <w:rPr>
          <w:rFonts w:ascii="Verdana" w:hAnsi="Verdana" w:cs="Times New Roman"/>
          <w:sz w:val="16"/>
          <w:szCs w:val="16"/>
        </w:rPr>
        <w:t xml:space="preserve">100. Asimismo, resulta pertinente observar que si bien el artículo 26 se encuentra en el capítulo III de la Convención, titulado “Derechos Económicos, Sociales y Culturales”, se ubica, también, en la Parte I de dicho instrumento, titulado “Deberes de los Estados y Derechos Protegidos” y, por ende, </w:t>
      </w:r>
      <w:r w:rsidRPr="0070163D">
        <w:rPr>
          <w:rFonts w:ascii="Verdana" w:hAnsi="Verdana" w:cs="Times New Roman"/>
          <w:sz w:val="16"/>
          <w:szCs w:val="16"/>
          <w:u w:val="single"/>
        </w:rPr>
        <w:t>está sujeto a las obligaciones generales contenidas en los artículos 1.1 y 2 señalados en el capítulo I (titulado “Enumeración de Deberes”), así́ como lo están los artículos 3 al 25 señalados en el capítulo II (titulado “Derechos Civiles y Políticos”).</w:t>
      </w:r>
      <w:r w:rsidRPr="0070163D">
        <w:rPr>
          <w:rFonts w:ascii="Verdana" w:hAnsi="Verdana" w:cs="Times New Roman"/>
          <w:sz w:val="16"/>
          <w:szCs w:val="16"/>
        </w:rPr>
        <w:t xml:space="preserve"> </w:t>
      </w:r>
    </w:p>
    <w:p w14:paraId="2E033558" w14:textId="77777777" w:rsidR="00135E5A" w:rsidRPr="0070163D" w:rsidRDefault="00135E5A" w:rsidP="00B16B13">
      <w:pPr>
        <w:pStyle w:val="NormalWeb"/>
        <w:tabs>
          <w:tab w:val="left" w:pos="7797"/>
        </w:tabs>
        <w:ind w:left="708" w:right="616"/>
        <w:jc w:val="both"/>
        <w:rPr>
          <w:rFonts w:ascii="Verdana" w:hAnsi="Verdana"/>
          <w:sz w:val="16"/>
          <w:szCs w:val="16"/>
          <w:lang w:val="es-ES_tradnl"/>
        </w:rPr>
      </w:pPr>
      <w:r w:rsidRPr="0070163D">
        <w:rPr>
          <w:rFonts w:ascii="Verdana" w:hAnsi="Verdana"/>
          <w:sz w:val="16"/>
          <w:szCs w:val="16"/>
          <w:lang w:val="es-ES_tradnl"/>
        </w:rPr>
        <w:t xml:space="preserve">101. En este sentido, la Corte considera pertinente recordar la interdependencia existente entre los derechos civiles y políticos y los económicos, sociales y culturales, ya que deben ser entendidos integralmente como derechos humanos, </w:t>
      </w:r>
      <w:r w:rsidRPr="0070163D">
        <w:rPr>
          <w:rFonts w:ascii="Verdana" w:hAnsi="Verdana"/>
          <w:sz w:val="16"/>
          <w:szCs w:val="16"/>
          <w:u w:val="single"/>
          <w:lang w:val="es-ES_tradnl"/>
        </w:rPr>
        <w:t>sin jerarquía entre sí y exigibles</w:t>
      </w:r>
      <w:r w:rsidRPr="0070163D">
        <w:rPr>
          <w:rFonts w:ascii="Verdana" w:hAnsi="Verdana"/>
          <w:sz w:val="16"/>
          <w:szCs w:val="16"/>
          <w:lang w:val="es-ES_tradnl"/>
        </w:rPr>
        <w:t xml:space="preserve"> en todos los casos ante aquellas autoridades que resulten competentes para ello </w:t>
      </w:r>
    </w:p>
    <w:p w14:paraId="4C2233CE" w14:textId="577BF3B5" w:rsidR="00135E5A" w:rsidRPr="0070163D" w:rsidRDefault="00135E5A" w:rsidP="00B16B13">
      <w:pPr>
        <w:pStyle w:val="NormalWeb"/>
        <w:tabs>
          <w:tab w:val="left" w:pos="7797"/>
        </w:tabs>
        <w:ind w:left="708" w:right="616"/>
        <w:jc w:val="both"/>
        <w:rPr>
          <w:rFonts w:ascii="Verdana" w:hAnsi="Verdana"/>
          <w:sz w:val="16"/>
          <w:szCs w:val="16"/>
          <w:lang w:val="es-ES_tradnl"/>
        </w:rPr>
      </w:pPr>
      <w:r w:rsidRPr="0070163D">
        <w:rPr>
          <w:rFonts w:ascii="Verdana" w:hAnsi="Verdana"/>
          <w:sz w:val="16"/>
          <w:szCs w:val="16"/>
          <w:lang w:val="es-ES_tradnl"/>
        </w:rPr>
        <w:t>102. El Tribunal observa que el desarrollo progresivo de los derechos económicos, sociales y culturales ha sido materia de pronunciamiento por parte del Comité́ de Derechos Económicos, Sociales y Culturales de las Naciones Unidas, en el sentido de que la plena efectividad de aquéllos “no podrá́ lograrse en un breve período de tiempo” y que, en esa medida, “requiere un dispositivo de flexibilidad necesaria que refleje las realidades del mundo [...] y las dificultades que implica para cada país el asegurar [dicha] efectividad”. En el marco de dicha flexibilidad en cuanto a plazo y modalidades, el Estado tendrá́ esencialmente, aunque no exclusivamente, una obligación de hacer, es decir, de adoptar providencias y brindar los medios y elementos necesarios para responder a las exigencias de efectividad de los derechos involucrados, siempre en la medida de los recursos económicos y financieros de que disponga para el cumplimiento del respectivo compromis</w:t>
      </w:r>
      <w:r w:rsidR="00605E16">
        <w:rPr>
          <w:rFonts w:ascii="Verdana" w:hAnsi="Verdana"/>
          <w:sz w:val="16"/>
          <w:szCs w:val="16"/>
          <w:lang w:val="es-ES_tradnl"/>
        </w:rPr>
        <w:t>o internacional adquirido. Así</w:t>
      </w:r>
      <w:r w:rsidRPr="0070163D">
        <w:rPr>
          <w:rFonts w:ascii="Verdana" w:hAnsi="Verdana"/>
          <w:sz w:val="16"/>
          <w:szCs w:val="16"/>
          <w:lang w:val="es-ES_tradnl"/>
        </w:rPr>
        <w:t xml:space="preserve"> la implementación progresiva de dichas medidas podrá́ ser objeto de rendición de cuentas y, de ser el caso, el cumplimiento del respectivo compromiso adquirido por el Estado podrá́ ser exigido ante las instancias llamadas a resolver eventuales violaciones a los derechos humanos</w:t>
      </w:r>
      <w:r w:rsidRPr="0070163D">
        <w:rPr>
          <w:rStyle w:val="FootnoteReference"/>
          <w:rFonts w:ascii="Verdana" w:hAnsi="Verdana"/>
          <w:sz w:val="16"/>
          <w:szCs w:val="16"/>
          <w:lang w:val="es-ES_tradnl"/>
        </w:rPr>
        <w:footnoteReference w:id="6"/>
      </w:r>
      <w:r w:rsidRPr="0070163D">
        <w:rPr>
          <w:rFonts w:ascii="Verdana" w:hAnsi="Verdana"/>
          <w:sz w:val="16"/>
          <w:szCs w:val="16"/>
          <w:lang w:val="es-ES_tradnl"/>
        </w:rPr>
        <w:t>.</w:t>
      </w:r>
      <w:r w:rsidR="00FF741E">
        <w:rPr>
          <w:rFonts w:ascii="Verdana" w:hAnsi="Verdana"/>
          <w:sz w:val="16"/>
          <w:szCs w:val="16"/>
          <w:lang w:val="es-ES_tradnl"/>
        </w:rPr>
        <w:t xml:space="preserve"> (Subrayado añadido).</w:t>
      </w:r>
    </w:p>
    <w:p w14:paraId="355BA807" w14:textId="0A1EA859" w:rsidR="00BA7C5B" w:rsidRPr="005A4DF1" w:rsidRDefault="00E05E9E" w:rsidP="00454C7F">
      <w:pPr>
        <w:jc w:val="both"/>
        <w:rPr>
          <w:rFonts w:ascii="Verdana" w:hAnsi="Verdana"/>
          <w:sz w:val="20"/>
          <w:szCs w:val="20"/>
        </w:rPr>
      </w:pPr>
      <w:r w:rsidRPr="005A4DF1">
        <w:rPr>
          <w:rFonts w:ascii="Verdana" w:hAnsi="Verdana"/>
          <w:sz w:val="20"/>
          <w:szCs w:val="20"/>
        </w:rPr>
        <w:t xml:space="preserve">12. </w:t>
      </w:r>
      <w:r w:rsidRPr="005A4DF1">
        <w:rPr>
          <w:rFonts w:ascii="Verdana" w:hAnsi="Verdana"/>
          <w:sz w:val="20"/>
          <w:szCs w:val="20"/>
        </w:rPr>
        <w:tab/>
      </w:r>
      <w:r w:rsidR="0079690D" w:rsidRPr="005A4DF1">
        <w:rPr>
          <w:rFonts w:ascii="Verdana" w:hAnsi="Verdana"/>
          <w:sz w:val="20"/>
          <w:szCs w:val="20"/>
        </w:rPr>
        <w:t xml:space="preserve">En dicho caso, el Tribunal Interamericano partió de la base de que “es competente para decidir si el Estado ha incurrido en una violación o incumplimiento de alguno de los derechos reconocidos en la Convención, </w:t>
      </w:r>
      <w:r w:rsidR="0079690D" w:rsidRPr="00ED18BE">
        <w:rPr>
          <w:rFonts w:ascii="Verdana" w:hAnsi="Verdana"/>
          <w:sz w:val="20"/>
          <w:szCs w:val="20"/>
          <w:u w:val="single"/>
        </w:rPr>
        <w:t>inclusive en lo concerniente al artículo 26 de la misma</w:t>
      </w:r>
      <w:r w:rsidR="0079690D" w:rsidRPr="005A4DF1">
        <w:rPr>
          <w:rFonts w:ascii="Verdana" w:hAnsi="Verdana"/>
          <w:sz w:val="20"/>
          <w:szCs w:val="20"/>
        </w:rPr>
        <w:t>”</w:t>
      </w:r>
      <w:r w:rsidR="0079690D" w:rsidRPr="005A4DF1">
        <w:rPr>
          <w:rStyle w:val="FootnoteReference"/>
          <w:rFonts w:ascii="Verdana" w:hAnsi="Verdana"/>
          <w:sz w:val="20"/>
          <w:szCs w:val="20"/>
        </w:rPr>
        <w:footnoteReference w:id="7"/>
      </w:r>
      <w:r w:rsidR="0079690D" w:rsidRPr="005A4DF1">
        <w:rPr>
          <w:rFonts w:ascii="Verdana" w:hAnsi="Verdana"/>
          <w:sz w:val="20"/>
          <w:szCs w:val="20"/>
        </w:rPr>
        <w:t xml:space="preserve">. En </w:t>
      </w:r>
      <w:r w:rsidR="00605E16">
        <w:rPr>
          <w:rFonts w:ascii="Verdana" w:hAnsi="Verdana"/>
          <w:sz w:val="20"/>
          <w:szCs w:val="20"/>
        </w:rPr>
        <w:t>el citado caso,</w:t>
      </w:r>
      <w:r w:rsidR="00BA7C5B" w:rsidRPr="005A4DF1">
        <w:rPr>
          <w:rFonts w:ascii="Verdana" w:hAnsi="Verdana"/>
          <w:sz w:val="20"/>
          <w:szCs w:val="20"/>
        </w:rPr>
        <w:t xml:space="preserve"> </w:t>
      </w:r>
      <w:r w:rsidR="0079690D" w:rsidRPr="005A4DF1">
        <w:rPr>
          <w:rFonts w:ascii="Verdana" w:hAnsi="Verdana"/>
          <w:sz w:val="20"/>
          <w:szCs w:val="20"/>
        </w:rPr>
        <w:t xml:space="preserve">la Corte IDH </w:t>
      </w:r>
      <w:r w:rsidR="00135E5A" w:rsidRPr="005A4DF1">
        <w:rPr>
          <w:rFonts w:ascii="Verdana" w:hAnsi="Verdana"/>
          <w:sz w:val="20"/>
          <w:szCs w:val="20"/>
        </w:rPr>
        <w:t xml:space="preserve">hizo referencia </w:t>
      </w:r>
      <w:r w:rsidR="00605E16">
        <w:rPr>
          <w:rFonts w:ascii="Verdana" w:hAnsi="Verdana"/>
          <w:sz w:val="20"/>
          <w:szCs w:val="20"/>
        </w:rPr>
        <w:t xml:space="preserve">expresa </w:t>
      </w:r>
      <w:r w:rsidR="00135E5A" w:rsidRPr="005A4DF1">
        <w:rPr>
          <w:rFonts w:ascii="Verdana" w:hAnsi="Verdana"/>
          <w:sz w:val="20"/>
          <w:szCs w:val="20"/>
        </w:rPr>
        <w:t>a la “interdependencia” de los derechos para entrar al estudio de los derechos económicos, sociales y culturales a que se refiere el artículo 26 del Pacto de San José</w:t>
      </w:r>
      <w:r w:rsidR="00135E5A" w:rsidRPr="005A4DF1">
        <w:rPr>
          <w:rStyle w:val="FootnoteReference"/>
          <w:rFonts w:ascii="Verdana" w:hAnsi="Verdana"/>
          <w:sz w:val="20"/>
          <w:szCs w:val="20"/>
        </w:rPr>
        <w:footnoteReference w:id="8"/>
      </w:r>
      <w:r w:rsidR="00135E5A" w:rsidRPr="005A4DF1">
        <w:rPr>
          <w:rFonts w:ascii="Verdana" w:hAnsi="Verdana"/>
          <w:sz w:val="20"/>
          <w:szCs w:val="20"/>
        </w:rPr>
        <w:t xml:space="preserve">. </w:t>
      </w:r>
    </w:p>
    <w:p w14:paraId="64A495CB" w14:textId="77777777" w:rsidR="00BA7C5B" w:rsidRPr="005A4DF1" w:rsidRDefault="00BA7C5B" w:rsidP="00454C7F">
      <w:pPr>
        <w:pStyle w:val="ListParagraph"/>
        <w:ind w:left="0"/>
        <w:contextualSpacing w:val="0"/>
        <w:jc w:val="both"/>
        <w:rPr>
          <w:rFonts w:ascii="Verdana" w:hAnsi="Verdana"/>
          <w:sz w:val="20"/>
          <w:szCs w:val="20"/>
        </w:rPr>
      </w:pPr>
    </w:p>
    <w:p w14:paraId="572A4093" w14:textId="5FFDCC91" w:rsidR="00135E5A" w:rsidRPr="005A4DF1" w:rsidRDefault="00E05E9E" w:rsidP="00454C7F">
      <w:pPr>
        <w:pStyle w:val="ListParagraph"/>
        <w:ind w:left="0"/>
        <w:contextualSpacing w:val="0"/>
        <w:jc w:val="both"/>
        <w:rPr>
          <w:rFonts w:ascii="Verdana" w:hAnsi="Verdana"/>
          <w:sz w:val="20"/>
          <w:szCs w:val="20"/>
        </w:rPr>
      </w:pPr>
      <w:r w:rsidRPr="005A4DF1">
        <w:rPr>
          <w:rFonts w:ascii="Verdana" w:hAnsi="Verdana"/>
          <w:sz w:val="20"/>
          <w:szCs w:val="20"/>
        </w:rPr>
        <w:lastRenderedPageBreak/>
        <w:t xml:space="preserve">13. </w:t>
      </w:r>
      <w:r w:rsidRPr="005A4DF1">
        <w:rPr>
          <w:rFonts w:ascii="Verdana" w:hAnsi="Verdana"/>
          <w:sz w:val="20"/>
          <w:szCs w:val="20"/>
        </w:rPr>
        <w:tab/>
      </w:r>
      <w:r w:rsidR="00BA7C5B" w:rsidRPr="005A4DF1">
        <w:rPr>
          <w:rFonts w:ascii="Verdana" w:hAnsi="Verdana"/>
          <w:sz w:val="20"/>
          <w:szCs w:val="20"/>
        </w:rPr>
        <w:t>Ahora bien, j</w:t>
      </w:r>
      <w:r w:rsidR="00135E5A" w:rsidRPr="005A4DF1">
        <w:rPr>
          <w:rFonts w:ascii="Verdana" w:hAnsi="Verdana"/>
          <w:sz w:val="20"/>
          <w:szCs w:val="20"/>
        </w:rPr>
        <w:t>unto con la interdependencia es necesario enfatizar el carácter “indivisible” de los derechos humanos</w:t>
      </w:r>
      <w:r w:rsidR="00135E5A" w:rsidRPr="005A4DF1">
        <w:rPr>
          <w:rStyle w:val="FootnoteReference"/>
          <w:rFonts w:ascii="Verdana" w:hAnsi="Verdana"/>
          <w:sz w:val="20"/>
          <w:szCs w:val="20"/>
        </w:rPr>
        <w:footnoteReference w:id="9"/>
      </w:r>
      <w:r w:rsidR="00135E5A" w:rsidRPr="005A4DF1">
        <w:rPr>
          <w:rFonts w:ascii="Verdana" w:hAnsi="Verdana"/>
          <w:sz w:val="20"/>
          <w:szCs w:val="20"/>
        </w:rPr>
        <w:t>. De a</w:t>
      </w:r>
      <w:r w:rsidR="00ED18BE">
        <w:rPr>
          <w:rFonts w:ascii="Verdana" w:hAnsi="Verdana"/>
          <w:sz w:val="20"/>
          <w:szCs w:val="20"/>
        </w:rPr>
        <w:t>cuerdo con la interdependencia (</w:t>
      </w:r>
      <w:r w:rsidR="00135E5A" w:rsidRPr="005A4DF1">
        <w:rPr>
          <w:rFonts w:ascii="Verdana" w:hAnsi="Verdana"/>
          <w:sz w:val="20"/>
          <w:szCs w:val="20"/>
        </w:rPr>
        <w:t>dependencia recíproca</w:t>
      </w:r>
      <w:r w:rsidR="00ED18BE">
        <w:rPr>
          <w:rFonts w:ascii="Verdana" w:hAnsi="Verdana"/>
          <w:sz w:val="20"/>
          <w:szCs w:val="20"/>
        </w:rPr>
        <w:t>)</w:t>
      </w:r>
      <w:r w:rsidR="00135E5A" w:rsidRPr="005A4DF1">
        <w:rPr>
          <w:rFonts w:ascii="Verdana" w:hAnsi="Verdana"/>
          <w:sz w:val="20"/>
          <w:szCs w:val="20"/>
        </w:rPr>
        <w:t>, el disfrute de unos derechos depende de la realización de otros, mientras que la indivisibilidad niega cualquier separación, categorización o jerarquía entre derechos para efectos de su respeto, protección y garantía</w:t>
      </w:r>
      <w:r w:rsidR="00135E5A" w:rsidRPr="005A4DF1">
        <w:rPr>
          <w:rStyle w:val="FootnoteReference"/>
          <w:rFonts w:ascii="Verdana" w:hAnsi="Verdana"/>
          <w:sz w:val="20"/>
          <w:szCs w:val="20"/>
        </w:rPr>
        <w:footnoteReference w:id="10"/>
      </w:r>
      <w:r w:rsidR="00135E5A" w:rsidRPr="005A4DF1">
        <w:rPr>
          <w:rFonts w:ascii="Verdana" w:hAnsi="Verdana"/>
          <w:sz w:val="20"/>
          <w:szCs w:val="20"/>
        </w:rPr>
        <w:t xml:space="preserve">. </w:t>
      </w:r>
    </w:p>
    <w:p w14:paraId="0AFC1FF9" w14:textId="77777777" w:rsidR="00135E5A" w:rsidRPr="005A4DF1" w:rsidRDefault="00135E5A" w:rsidP="00454C7F">
      <w:pPr>
        <w:pStyle w:val="ListParagraph"/>
        <w:tabs>
          <w:tab w:val="left" w:pos="0"/>
        </w:tabs>
        <w:spacing w:after="240"/>
        <w:ind w:left="0" w:right="49"/>
        <w:jc w:val="both"/>
        <w:rPr>
          <w:rFonts w:ascii="Verdana" w:hAnsi="Verdana"/>
          <w:sz w:val="20"/>
          <w:szCs w:val="20"/>
        </w:rPr>
      </w:pPr>
    </w:p>
    <w:p w14:paraId="05633B66" w14:textId="66D8BD36" w:rsidR="00135E5A" w:rsidRPr="005A4DF1" w:rsidRDefault="00E05E9E" w:rsidP="00454C7F">
      <w:pPr>
        <w:pStyle w:val="ListParagraph"/>
        <w:tabs>
          <w:tab w:val="left" w:pos="0"/>
        </w:tabs>
        <w:spacing w:after="240"/>
        <w:ind w:left="0" w:right="49"/>
        <w:jc w:val="both"/>
        <w:rPr>
          <w:rFonts w:ascii="Verdana" w:hAnsi="Verdana"/>
          <w:sz w:val="20"/>
          <w:szCs w:val="20"/>
        </w:rPr>
      </w:pPr>
      <w:r w:rsidRPr="005A4DF1">
        <w:rPr>
          <w:rFonts w:ascii="Verdana" w:hAnsi="Verdana"/>
          <w:sz w:val="20"/>
          <w:szCs w:val="20"/>
        </w:rPr>
        <w:t xml:space="preserve">14. </w:t>
      </w:r>
      <w:r w:rsidRPr="005A4DF1">
        <w:rPr>
          <w:rFonts w:ascii="Verdana" w:hAnsi="Verdana"/>
          <w:sz w:val="20"/>
          <w:szCs w:val="20"/>
        </w:rPr>
        <w:tab/>
      </w:r>
      <w:r w:rsidR="00135E5A" w:rsidRPr="005A4DF1">
        <w:rPr>
          <w:rFonts w:ascii="Verdana" w:hAnsi="Verdana"/>
          <w:sz w:val="20"/>
          <w:szCs w:val="20"/>
        </w:rPr>
        <w:t>La “interdependencia e indivisibilidad” deben tratarse como un binomio inseparable, tal y como se señala en los principales instrumentos de derechos humanos</w:t>
      </w:r>
      <w:r w:rsidR="00135E5A" w:rsidRPr="005A4DF1">
        <w:rPr>
          <w:rStyle w:val="FootnoteReference"/>
          <w:rFonts w:ascii="Verdana" w:hAnsi="Verdana"/>
          <w:sz w:val="20"/>
          <w:szCs w:val="20"/>
        </w:rPr>
        <w:footnoteReference w:id="11"/>
      </w:r>
      <w:r w:rsidR="00135E5A" w:rsidRPr="005A4DF1">
        <w:rPr>
          <w:rFonts w:ascii="Verdana" w:hAnsi="Verdana"/>
          <w:sz w:val="20"/>
          <w:szCs w:val="20"/>
        </w:rPr>
        <w:t>. Esto con el fin de enfrentar el reto de su interpretación e implementación como una tarea holística, que nos obliga a no perder de vista las implicaciones que tienen el respeto, protección y garantía de los derechos civiles y políticos sobre los derechos económicos, sociales y culturales y viceversa. L</w:t>
      </w:r>
      <w:r w:rsidR="00135E5A" w:rsidRPr="005A4DF1">
        <w:rPr>
          <w:rFonts w:ascii="Verdana" w:hAnsi="Verdana"/>
          <w:color w:val="000000"/>
          <w:sz w:val="20"/>
          <w:szCs w:val="20"/>
        </w:rPr>
        <w:t xml:space="preserve">a aplicación, promoción y  protección de los derechos económicos, sociales y culturales exige la misma atención y urgente consideración que </w:t>
      </w:r>
      <w:r w:rsidR="00A73E26">
        <w:rPr>
          <w:rFonts w:ascii="Verdana" w:hAnsi="Verdana"/>
          <w:color w:val="000000"/>
          <w:sz w:val="20"/>
          <w:szCs w:val="20"/>
        </w:rPr>
        <w:t xml:space="preserve">la de </w:t>
      </w:r>
      <w:r w:rsidR="00135E5A" w:rsidRPr="005A4DF1">
        <w:rPr>
          <w:rFonts w:ascii="Verdana" w:hAnsi="Verdana"/>
          <w:color w:val="000000"/>
          <w:sz w:val="20"/>
          <w:szCs w:val="20"/>
        </w:rPr>
        <w:t>los derechos civiles y políticos</w:t>
      </w:r>
      <w:r w:rsidR="00135E5A" w:rsidRPr="005A4DF1">
        <w:rPr>
          <w:rStyle w:val="FootnoteReference"/>
          <w:rFonts w:ascii="Verdana" w:hAnsi="Verdana"/>
          <w:color w:val="000000"/>
          <w:sz w:val="20"/>
          <w:szCs w:val="20"/>
        </w:rPr>
        <w:footnoteReference w:id="12"/>
      </w:r>
      <w:r w:rsidR="00135E5A" w:rsidRPr="005A4DF1">
        <w:rPr>
          <w:rFonts w:ascii="Verdana" w:hAnsi="Verdana"/>
          <w:color w:val="000000"/>
          <w:sz w:val="20"/>
          <w:szCs w:val="20"/>
        </w:rPr>
        <w:t xml:space="preserve">. </w:t>
      </w:r>
    </w:p>
    <w:p w14:paraId="4AEA6469" w14:textId="77777777" w:rsidR="00135E5A" w:rsidRPr="005A4DF1" w:rsidRDefault="00135E5A" w:rsidP="00454C7F">
      <w:pPr>
        <w:pStyle w:val="ListParagraph"/>
        <w:tabs>
          <w:tab w:val="left" w:pos="0"/>
        </w:tabs>
        <w:spacing w:after="240"/>
        <w:ind w:left="0" w:right="49"/>
        <w:jc w:val="both"/>
        <w:rPr>
          <w:rFonts w:ascii="Verdana" w:hAnsi="Verdana"/>
          <w:sz w:val="20"/>
          <w:szCs w:val="20"/>
        </w:rPr>
      </w:pPr>
    </w:p>
    <w:p w14:paraId="1D1AFE5E" w14:textId="234E22D6" w:rsidR="00135E5A" w:rsidRPr="005A4DF1" w:rsidRDefault="00E05E9E" w:rsidP="00454C7F">
      <w:pPr>
        <w:pStyle w:val="ListParagraph"/>
        <w:tabs>
          <w:tab w:val="left" w:pos="0"/>
        </w:tabs>
        <w:spacing w:after="240"/>
        <w:ind w:left="0" w:right="49"/>
        <w:jc w:val="both"/>
        <w:rPr>
          <w:rFonts w:ascii="Verdana" w:hAnsi="Verdana"/>
          <w:sz w:val="20"/>
          <w:szCs w:val="20"/>
        </w:rPr>
      </w:pPr>
      <w:r w:rsidRPr="005A4DF1">
        <w:rPr>
          <w:rFonts w:ascii="Verdana" w:hAnsi="Verdana"/>
          <w:color w:val="000000"/>
          <w:sz w:val="20"/>
          <w:szCs w:val="20"/>
        </w:rPr>
        <w:t xml:space="preserve">15. </w:t>
      </w:r>
      <w:r w:rsidRPr="005A4DF1">
        <w:rPr>
          <w:rFonts w:ascii="Verdana" w:hAnsi="Verdana"/>
          <w:color w:val="000000"/>
          <w:sz w:val="20"/>
          <w:szCs w:val="20"/>
        </w:rPr>
        <w:tab/>
      </w:r>
      <w:r w:rsidR="00135E5A" w:rsidRPr="005A4DF1">
        <w:rPr>
          <w:rFonts w:ascii="Verdana" w:hAnsi="Verdana"/>
          <w:color w:val="000000"/>
          <w:sz w:val="20"/>
          <w:szCs w:val="20"/>
        </w:rPr>
        <w:t xml:space="preserve">Desde mi perspectiva, como lo he expresado anteriormente, estos alcances implican: a) establecer una relación fuerte y de igual importancia entre derechos civiles y políticos y los </w:t>
      </w:r>
      <w:r w:rsidR="00ED18BE">
        <w:rPr>
          <w:rFonts w:ascii="Verdana" w:hAnsi="Verdana"/>
          <w:color w:val="000000"/>
          <w:sz w:val="20"/>
          <w:szCs w:val="20"/>
        </w:rPr>
        <w:t xml:space="preserve">derechos económicos, sociales, </w:t>
      </w:r>
      <w:r w:rsidR="00135E5A" w:rsidRPr="005A4DF1">
        <w:rPr>
          <w:rFonts w:ascii="Verdana" w:hAnsi="Verdana"/>
          <w:color w:val="000000"/>
          <w:sz w:val="20"/>
          <w:szCs w:val="20"/>
        </w:rPr>
        <w:t>culturales</w:t>
      </w:r>
      <w:r w:rsidR="00ED18BE">
        <w:rPr>
          <w:rFonts w:ascii="Verdana" w:hAnsi="Verdana"/>
          <w:color w:val="000000"/>
          <w:sz w:val="20"/>
          <w:szCs w:val="20"/>
        </w:rPr>
        <w:t xml:space="preserve"> y ambientales</w:t>
      </w:r>
      <w:r w:rsidR="00135E5A" w:rsidRPr="005A4DF1">
        <w:rPr>
          <w:rFonts w:ascii="Verdana" w:hAnsi="Verdana"/>
          <w:color w:val="000000"/>
          <w:sz w:val="20"/>
          <w:szCs w:val="20"/>
        </w:rPr>
        <w:t xml:space="preserve">; b) obligar a interpretar todos los derechos de manera conjunta —que en algunos ocasiones arrojan contenidos traslapados o superpuestos— y a valorar las implicaciones que tiene el respeto, protección y garantía de unos derechos sobre otros para su implementación efectiva; c) otorgar una visión autónoma a los derechos </w:t>
      </w:r>
      <w:r w:rsidR="00C45D89">
        <w:rPr>
          <w:rFonts w:ascii="Verdana" w:hAnsi="Verdana"/>
          <w:color w:val="000000"/>
          <w:sz w:val="20"/>
          <w:szCs w:val="20"/>
        </w:rPr>
        <w:t xml:space="preserve">económicos, sociales, </w:t>
      </w:r>
      <w:r w:rsidR="00135E5A" w:rsidRPr="005A4DF1">
        <w:rPr>
          <w:rFonts w:ascii="Verdana" w:hAnsi="Verdana"/>
          <w:color w:val="000000"/>
          <w:sz w:val="20"/>
          <w:szCs w:val="20"/>
        </w:rPr>
        <w:t>culturales</w:t>
      </w:r>
      <w:r w:rsidR="00C45D89">
        <w:rPr>
          <w:rFonts w:ascii="Verdana" w:hAnsi="Verdana"/>
          <w:color w:val="000000"/>
          <w:sz w:val="20"/>
          <w:szCs w:val="20"/>
        </w:rPr>
        <w:t xml:space="preserve"> y ambientales</w:t>
      </w:r>
      <w:r w:rsidR="00135E5A" w:rsidRPr="005A4DF1">
        <w:rPr>
          <w:rFonts w:ascii="Verdana" w:hAnsi="Verdana"/>
          <w:color w:val="000000"/>
          <w:sz w:val="20"/>
          <w:szCs w:val="20"/>
        </w:rPr>
        <w:t xml:space="preserve">, conforme a su esencia y características propias; d) reconocer que pueden ser violados de manera autónoma, lo que podría conducir —como sucede con los derechos civiles y políticos— a declarar violado el deber de garantía de los derechos derivados del artículo 26 del Pacto de San José, en relación con las obligaciones generales previstas en los artículos 1 y 2 de la Convención Americana; e) precisar las obligaciones que deben cumplir los Estados en materia de </w:t>
      </w:r>
      <w:r w:rsidR="00C45D89">
        <w:rPr>
          <w:rFonts w:ascii="Verdana" w:hAnsi="Verdana"/>
          <w:color w:val="000000"/>
          <w:sz w:val="20"/>
          <w:szCs w:val="20"/>
        </w:rPr>
        <w:t xml:space="preserve">derechos económicos, sociales, </w:t>
      </w:r>
      <w:r w:rsidR="00135E5A" w:rsidRPr="005A4DF1">
        <w:rPr>
          <w:rFonts w:ascii="Verdana" w:hAnsi="Verdana"/>
          <w:color w:val="000000"/>
          <w:sz w:val="20"/>
          <w:szCs w:val="20"/>
        </w:rPr>
        <w:t>culturales</w:t>
      </w:r>
      <w:r w:rsidR="00C45D89">
        <w:rPr>
          <w:rFonts w:ascii="Verdana" w:hAnsi="Verdana"/>
          <w:color w:val="000000"/>
          <w:sz w:val="20"/>
          <w:szCs w:val="20"/>
        </w:rPr>
        <w:t xml:space="preserve"> y ambientales</w:t>
      </w:r>
      <w:r w:rsidR="00135E5A" w:rsidRPr="005A4DF1">
        <w:rPr>
          <w:rFonts w:ascii="Verdana" w:hAnsi="Verdana"/>
          <w:color w:val="000000"/>
          <w:sz w:val="20"/>
          <w:szCs w:val="20"/>
        </w:rPr>
        <w:t xml:space="preserve">; f) permitir una interpretación evolutiva del </w:t>
      </w:r>
      <w:r w:rsidR="00135E5A" w:rsidRPr="005A4DF1">
        <w:rPr>
          <w:rFonts w:ascii="Verdana" w:hAnsi="Verdana"/>
          <w:i/>
          <w:color w:val="000000"/>
          <w:sz w:val="20"/>
          <w:szCs w:val="20"/>
        </w:rPr>
        <w:t xml:space="preserve">corpus </w:t>
      </w:r>
      <w:proofErr w:type="spellStart"/>
      <w:r w:rsidR="00135E5A" w:rsidRPr="005A4DF1">
        <w:rPr>
          <w:rFonts w:ascii="Verdana" w:hAnsi="Verdana"/>
          <w:i/>
          <w:color w:val="000000"/>
          <w:sz w:val="20"/>
          <w:szCs w:val="20"/>
        </w:rPr>
        <w:t>juris</w:t>
      </w:r>
      <w:proofErr w:type="spellEnd"/>
      <w:r w:rsidR="00135E5A" w:rsidRPr="005A4DF1">
        <w:rPr>
          <w:rFonts w:ascii="Verdana" w:hAnsi="Verdana"/>
          <w:i/>
          <w:color w:val="000000"/>
          <w:sz w:val="20"/>
          <w:szCs w:val="20"/>
        </w:rPr>
        <w:t xml:space="preserve"> </w:t>
      </w:r>
      <w:r w:rsidR="00135E5A" w:rsidRPr="005A4DF1">
        <w:rPr>
          <w:rFonts w:ascii="Verdana" w:hAnsi="Verdana"/>
          <w:color w:val="000000"/>
          <w:sz w:val="20"/>
          <w:szCs w:val="20"/>
        </w:rPr>
        <w:t xml:space="preserve">interamericano y de manera sistemática, especialmente para advertir los alcances del artículo 26 de la Convención con respecto al Protocolo de San Salvador; y g) proporcionar un fundamento más para utilizar otros instrumentos e interpretaciones de organismos internacionales relativas a los </w:t>
      </w:r>
      <w:r w:rsidR="00C45D89">
        <w:rPr>
          <w:rFonts w:ascii="Verdana" w:hAnsi="Verdana"/>
          <w:color w:val="000000"/>
          <w:sz w:val="20"/>
          <w:szCs w:val="20"/>
        </w:rPr>
        <w:t xml:space="preserve">derechos económicos, sociales, </w:t>
      </w:r>
      <w:r w:rsidR="00135E5A" w:rsidRPr="005A4DF1">
        <w:rPr>
          <w:rFonts w:ascii="Verdana" w:hAnsi="Verdana"/>
          <w:color w:val="000000"/>
          <w:sz w:val="20"/>
          <w:szCs w:val="20"/>
        </w:rPr>
        <w:t xml:space="preserve">culturales </w:t>
      </w:r>
      <w:r w:rsidR="00C45D89">
        <w:rPr>
          <w:rFonts w:ascii="Verdana" w:hAnsi="Verdana"/>
          <w:color w:val="000000"/>
          <w:sz w:val="20"/>
          <w:szCs w:val="20"/>
        </w:rPr>
        <w:t xml:space="preserve">y ambientales </w:t>
      </w:r>
      <w:r w:rsidR="00135E5A" w:rsidRPr="005A4DF1">
        <w:rPr>
          <w:rFonts w:ascii="Verdana" w:hAnsi="Verdana"/>
          <w:color w:val="000000"/>
          <w:sz w:val="20"/>
          <w:szCs w:val="20"/>
        </w:rPr>
        <w:t>con el fin de darles contenido</w:t>
      </w:r>
      <w:r w:rsidR="00135E5A" w:rsidRPr="005A4DF1">
        <w:rPr>
          <w:rStyle w:val="FootnoteReference"/>
          <w:rFonts w:ascii="Verdana" w:hAnsi="Verdana"/>
          <w:color w:val="000000"/>
          <w:sz w:val="20"/>
          <w:szCs w:val="20"/>
        </w:rPr>
        <w:footnoteReference w:id="13"/>
      </w:r>
      <w:r w:rsidR="00135E5A" w:rsidRPr="005A4DF1">
        <w:rPr>
          <w:rFonts w:ascii="Verdana" w:hAnsi="Verdana"/>
          <w:color w:val="000000"/>
          <w:sz w:val="20"/>
          <w:szCs w:val="20"/>
        </w:rPr>
        <w:t>.</w:t>
      </w:r>
    </w:p>
    <w:p w14:paraId="2F9D170B" w14:textId="77777777" w:rsidR="00135E5A" w:rsidRPr="005A4DF1" w:rsidRDefault="00135E5A" w:rsidP="00454C7F">
      <w:pPr>
        <w:pStyle w:val="ListParagraph"/>
        <w:tabs>
          <w:tab w:val="left" w:pos="0"/>
        </w:tabs>
        <w:spacing w:after="240"/>
        <w:ind w:left="0" w:right="49"/>
        <w:jc w:val="both"/>
        <w:rPr>
          <w:rFonts w:ascii="Verdana" w:hAnsi="Verdana"/>
          <w:color w:val="000000"/>
          <w:sz w:val="20"/>
          <w:szCs w:val="20"/>
        </w:rPr>
      </w:pPr>
    </w:p>
    <w:p w14:paraId="016B286F" w14:textId="251F4033" w:rsidR="0079690D" w:rsidRPr="005A4DF1" w:rsidRDefault="00E05E9E" w:rsidP="00454C7F">
      <w:pPr>
        <w:pStyle w:val="ListParagraph"/>
        <w:ind w:left="0"/>
        <w:contextualSpacing w:val="0"/>
        <w:jc w:val="both"/>
        <w:rPr>
          <w:rFonts w:ascii="Verdana" w:hAnsi="Verdana"/>
          <w:sz w:val="20"/>
          <w:szCs w:val="20"/>
        </w:rPr>
      </w:pPr>
      <w:r w:rsidRPr="005A4DF1">
        <w:rPr>
          <w:rFonts w:ascii="Verdana" w:hAnsi="Verdana"/>
          <w:sz w:val="20"/>
          <w:szCs w:val="20"/>
        </w:rPr>
        <w:t xml:space="preserve">16. </w:t>
      </w:r>
      <w:r w:rsidRPr="005A4DF1">
        <w:rPr>
          <w:rFonts w:ascii="Verdana" w:hAnsi="Verdana"/>
          <w:sz w:val="20"/>
          <w:szCs w:val="20"/>
        </w:rPr>
        <w:tab/>
      </w:r>
      <w:r w:rsidR="00135E5A" w:rsidRPr="005A4DF1">
        <w:rPr>
          <w:rFonts w:ascii="Verdana" w:hAnsi="Verdana"/>
          <w:sz w:val="20"/>
          <w:szCs w:val="20"/>
        </w:rPr>
        <w:t xml:space="preserve">Así, las obligaciones generales de “respeto” y “garantía” que prevé el artículo 1.1 convencional —conjuntamente con la obligación de “adecuación” del artículo 2 de </w:t>
      </w:r>
      <w:r w:rsidR="00135E5A" w:rsidRPr="005A4DF1">
        <w:rPr>
          <w:rFonts w:ascii="Verdana" w:hAnsi="Verdana"/>
          <w:sz w:val="20"/>
          <w:szCs w:val="20"/>
        </w:rPr>
        <w:lastRenderedPageBreak/>
        <w:t xml:space="preserve">la propia Convención Americana— aplican a </w:t>
      </w:r>
      <w:r w:rsidR="00135E5A" w:rsidRPr="005A4DF1">
        <w:rPr>
          <w:rFonts w:ascii="Verdana" w:hAnsi="Verdana"/>
          <w:i/>
          <w:sz w:val="20"/>
          <w:szCs w:val="20"/>
        </w:rPr>
        <w:t>todos los derechos</w:t>
      </w:r>
      <w:r w:rsidR="00135E5A" w:rsidRPr="005A4DF1">
        <w:rPr>
          <w:rFonts w:ascii="Verdana" w:hAnsi="Verdana"/>
          <w:sz w:val="20"/>
          <w:szCs w:val="20"/>
        </w:rPr>
        <w:t>, sean civiles, po</w:t>
      </w:r>
      <w:r w:rsidR="00C45D89">
        <w:rPr>
          <w:rFonts w:ascii="Verdana" w:hAnsi="Verdana"/>
          <w:sz w:val="20"/>
          <w:szCs w:val="20"/>
        </w:rPr>
        <w:t xml:space="preserve">líticos, económicos, sociales, </w:t>
      </w:r>
      <w:r w:rsidR="00135E5A" w:rsidRPr="005A4DF1">
        <w:rPr>
          <w:rFonts w:ascii="Verdana" w:hAnsi="Verdana"/>
          <w:sz w:val="20"/>
          <w:szCs w:val="20"/>
        </w:rPr>
        <w:t>culturales</w:t>
      </w:r>
      <w:r w:rsidR="00C45D89">
        <w:rPr>
          <w:rFonts w:ascii="Verdana" w:hAnsi="Verdana"/>
          <w:sz w:val="20"/>
          <w:szCs w:val="20"/>
        </w:rPr>
        <w:t xml:space="preserve"> y ambientales</w:t>
      </w:r>
      <w:r w:rsidR="00135E5A" w:rsidRPr="005A4DF1">
        <w:rPr>
          <w:rFonts w:ascii="Verdana" w:hAnsi="Verdana"/>
          <w:sz w:val="20"/>
          <w:szCs w:val="20"/>
        </w:rPr>
        <w:t xml:space="preserve">, a la luz de la interdependencia e indivisibilidad existente entre </w:t>
      </w:r>
      <w:r w:rsidR="00135E5A" w:rsidRPr="005A4DF1">
        <w:rPr>
          <w:rFonts w:ascii="Verdana" w:hAnsi="Verdana"/>
          <w:i/>
          <w:sz w:val="20"/>
          <w:szCs w:val="20"/>
        </w:rPr>
        <w:t>todos los derechos humanos</w:t>
      </w:r>
      <w:r w:rsidR="00135E5A" w:rsidRPr="005A4DF1">
        <w:rPr>
          <w:rFonts w:ascii="Verdana" w:hAnsi="Verdana"/>
          <w:sz w:val="20"/>
          <w:szCs w:val="20"/>
        </w:rPr>
        <w:t xml:space="preserve"> reconocidos en el Pacto de San José, lo que incluye al ar</w:t>
      </w:r>
      <w:r w:rsidR="0079690D" w:rsidRPr="005A4DF1">
        <w:rPr>
          <w:rFonts w:ascii="Verdana" w:hAnsi="Verdana"/>
          <w:sz w:val="20"/>
          <w:szCs w:val="20"/>
        </w:rPr>
        <w:t xml:space="preserve">tículo 26 del </w:t>
      </w:r>
      <w:r w:rsidR="00BA7C5B" w:rsidRPr="005A4DF1">
        <w:rPr>
          <w:rFonts w:ascii="Verdana" w:hAnsi="Verdana"/>
          <w:sz w:val="20"/>
          <w:szCs w:val="20"/>
        </w:rPr>
        <w:t>propio tratado</w:t>
      </w:r>
      <w:r w:rsidR="0079690D" w:rsidRPr="005A4DF1">
        <w:rPr>
          <w:rFonts w:ascii="Verdana" w:hAnsi="Verdana"/>
          <w:sz w:val="20"/>
          <w:szCs w:val="20"/>
        </w:rPr>
        <w:t>.</w:t>
      </w:r>
    </w:p>
    <w:p w14:paraId="1956197B" w14:textId="77777777" w:rsidR="0079690D" w:rsidRPr="005A4DF1" w:rsidRDefault="0079690D" w:rsidP="00454C7F">
      <w:pPr>
        <w:jc w:val="both"/>
        <w:rPr>
          <w:rFonts w:ascii="Verdana" w:hAnsi="Verdana"/>
          <w:sz w:val="20"/>
          <w:szCs w:val="20"/>
        </w:rPr>
      </w:pPr>
    </w:p>
    <w:p w14:paraId="60FAFB64" w14:textId="12B85433" w:rsidR="0079690D" w:rsidRPr="005A4DF1" w:rsidRDefault="00E05E9E" w:rsidP="00454C7F">
      <w:pPr>
        <w:pStyle w:val="ListParagraph"/>
        <w:ind w:left="0"/>
        <w:contextualSpacing w:val="0"/>
        <w:jc w:val="both"/>
        <w:rPr>
          <w:rFonts w:ascii="Verdana" w:hAnsi="Verdana"/>
          <w:sz w:val="20"/>
          <w:szCs w:val="20"/>
        </w:rPr>
      </w:pPr>
      <w:r w:rsidRPr="005A4DF1">
        <w:rPr>
          <w:rFonts w:ascii="Verdana" w:hAnsi="Verdana"/>
          <w:sz w:val="20"/>
          <w:szCs w:val="20"/>
        </w:rPr>
        <w:t xml:space="preserve">17. </w:t>
      </w:r>
      <w:r w:rsidRPr="005A4DF1">
        <w:rPr>
          <w:rFonts w:ascii="Verdana" w:hAnsi="Verdana"/>
          <w:sz w:val="20"/>
          <w:szCs w:val="20"/>
        </w:rPr>
        <w:tab/>
      </w:r>
      <w:r w:rsidR="00BA7C5B" w:rsidRPr="005A4DF1">
        <w:rPr>
          <w:rFonts w:ascii="Verdana" w:hAnsi="Verdana"/>
          <w:sz w:val="20"/>
          <w:szCs w:val="20"/>
        </w:rPr>
        <w:t>Evidentemente</w:t>
      </w:r>
      <w:r w:rsidR="00D17FA9" w:rsidRPr="005A4DF1">
        <w:rPr>
          <w:rFonts w:ascii="Verdana" w:hAnsi="Verdana"/>
          <w:sz w:val="20"/>
          <w:szCs w:val="20"/>
        </w:rPr>
        <w:t xml:space="preserve"> no se trata solo de indicar que la Corte </w:t>
      </w:r>
      <w:r w:rsidR="0079690D" w:rsidRPr="005A4DF1">
        <w:rPr>
          <w:rFonts w:ascii="Verdana" w:hAnsi="Verdana"/>
          <w:sz w:val="20"/>
          <w:szCs w:val="20"/>
        </w:rPr>
        <w:t xml:space="preserve">IDH </w:t>
      </w:r>
      <w:r w:rsidR="00D17FA9" w:rsidRPr="005A4DF1">
        <w:rPr>
          <w:rFonts w:ascii="Verdana" w:hAnsi="Verdana"/>
          <w:sz w:val="20"/>
          <w:szCs w:val="20"/>
        </w:rPr>
        <w:t>es competente respecto al artículo 26 referido, en tanto se trata de una de las “disposiciones” de la Convención</w:t>
      </w:r>
      <w:r w:rsidR="0079690D" w:rsidRPr="005A4DF1">
        <w:rPr>
          <w:rFonts w:ascii="Verdana" w:hAnsi="Verdana"/>
          <w:sz w:val="20"/>
          <w:szCs w:val="20"/>
        </w:rPr>
        <w:t xml:space="preserve"> Americana</w:t>
      </w:r>
      <w:r w:rsidR="00D17FA9" w:rsidRPr="005A4DF1">
        <w:rPr>
          <w:rFonts w:ascii="Verdana" w:hAnsi="Verdana"/>
          <w:sz w:val="20"/>
          <w:szCs w:val="20"/>
        </w:rPr>
        <w:t xml:space="preserve">, sino también que tal competencia puede ejercerse respecto de los “derechos” incluidos en esa norma. </w:t>
      </w:r>
      <w:r w:rsidR="0079690D" w:rsidRPr="005A4DF1">
        <w:rPr>
          <w:rFonts w:ascii="Verdana" w:hAnsi="Verdana"/>
          <w:sz w:val="20"/>
          <w:szCs w:val="20"/>
        </w:rPr>
        <w:t xml:space="preserve"> </w:t>
      </w:r>
    </w:p>
    <w:p w14:paraId="4FE9BF66" w14:textId="77777777" w:rsidR="0079690D" w:rsidRPr="005A4DF1" w:rsidRDefault="0079690D" w:rsidP="00454C7F">
      <w:pPr>
        <w:jc w:val="both"/>
        <w:rPr>
          <w:rFonts w:ascii="Verdana" w:hAnsi="Verdana"/>
          <w:sz w:val="20"/>
          <w:szCs w:val="20"/>
        </w:rPr>
      </w:pPr>
    </w:p>
    <w:p w14:paraId="22C7E613" w14:textId="752E2F58" w:rsidR="00D17FA9" w:rsidRPr="005A4DF1" w:rsidRDefault="00E05E9E" w:rsidP="00454C7F">
      <w:pPr>
        <w:pStyle w:val="ListParagraph"/>
        <w:ind w:left="0"/>
        <w:contextualSpacing w:val="0"/>
        <w:jc w:val="both"/>
        <w:rPr>
          <w:rFonts w:ascii="Verdana" w:hAnsi="Verdana"/>
          <w:sz w:val="20"/>
          <w:szCs w:val="20"/>
        </w:rPr>
      </w:pPr>
      <w:r w:rsidRPr="005A4DF1">
        <w:rPr>
          <w:rFonts w:ascii="Verdana" w:hAnsi="Verdana"/>
          <w:sz w:val="20"/>
          <w:szCs w:val="20"/>
        </w:rPr>
        <w:t xml:space="preserve">18. </w:t>
      </w:r>
      <w:r w:rsidRPr="005A4DF1">
        <w:rPr>
          <w:rFonts w:ascii="Verdana" w:hAnsi="Verdana"/>
          <w:sz w:val="20"/>
          <w:szCs w:val="20"/>
        </w:rPr>
        <w:tab/>
      </w:r>
      <w:r w:rsidR="0079690D" w:rsidRPr="005A4DF1">
        <w:rPr>
          <w:rFonts w:ascii="Verdana" w:hAnsi="Verdana"/>
          <w:sz w:val="20"/>
          <w:szCs w:val="20"/>
        </w:rPr>
        <w:t>En otras oportunidades he expresado</w:t>
      </w:r>
      <w:r w:rsidR="00D17FA9" w:rsidRPr="0098725D">
        <w:rPr>
          <w:rStyle w:val="Strong"/>
          <w:rFonts w:ascii="Verdana" w:hAnsi="Verdana"/>
          <w:b w:val="0"/>
          <w:sz w:val="20"/>
          <w:szCs w:val="20"/>
        </w:rPr>
        <w:t xml:space="preserve"> “</w:t>
      </w:r>
      <w:r w:rsidR="00D17FA9" w:rsidRPr="005A4DF1">
        <w:rPr>
          <w:rFonts w:ascii="Verdana" w:hAnsi="Verdana"/>
          <w:color w:val="000000"/>
          <w:sz w:val="20"/>
          <w:szCs w:val="20"/>
        </w:rPr>
        <w:t xml:space="preserve">diversas líneas interpretativas y argumentativas válidas y razonables que nos conducen a otorgar </w:t>
      </w:r>
      <w:proofErr w:type="spellStart"/>
      <w:r w:rsidR="00D17FA9" w:rsidRPr="005A4DF1">
        <w:rPr>
          <w:rFonts w:ascii="Verdana" w:hAnsi="Verdana"/>
          <w:color w:val="000000"/>
          <w:sz w:val="20"/>
          <w:szCs w:val="20"/>
        </w:rPr>
        <w:t>justiciabilidad</w:t>
      </w:r>
      <w:proofErr w:type="spellEnd"/>
      <w:r w:rsidR="00D17FA9" w:rsidRPr="005A4DF1">
        <w:rPr>
          <w:rFonts w:ascii="Verdana" w:hAnsi="Verdana"/>
          <w:color w:val="000000"/>
          <w:sz w:val="20"/>
          <w:szCs w:val="20"/>
        </w:rPr>
        <w:t xml:space="preserve"> directa a los derechos económicos, sociales y culturales, que eventualmente la Corte […] podría realizar”</w:t>
      </w:r>
      <w:r w:rsidR="0079690D" w:rsidRPr="005A4DF1">
        <w:rPr>
          <w:rStyle w:val="FootnoteReference"/>
          <w:rFonts w:ascii="Verdana" w:hAnsi="Verdana"/>
          <w:color w:val="000000"/>
          <w:sz w:val="20"/>
          <w:szCs w:val="20"/>
        </w:rPr>
        <w:footnoteReference w:id="14"/>
      </w:r>
      <w:r w:rsidR="0079690D" w:rsidRPr="005A4DF1">
        <w:rPr>
          <w:rFonts w:ascii="Verdana" w:hAnsi="Verdana"/>
          <w:color w:val="000000"/>
          <w:sz w:val="20"/>
          <w:szCs w:val="20"/>
        </w:rPr>
        <w:t xml:space="preserve">, </w:t>
      </w:r>
      <w:r w:rsidR="00C45D89">
        <w:rPr>
          <w:rFonts w:ascii="Verdana" w:hAnsi="Verdana"/>
          <w:color w:val="000000"/>
          <w:sz w:val="20"/>
          <w:szCs w:val="20"/>
        </w:rPr>
        <w:t xml:space="preserve">por lo que ahora </w:t>
      </w:r>
      <w:r w:rsidR="0079690D" w:rsidRPr="005A4DF1">
        <w:rPr>
          <w:rFonts w:ascii="Verdana" w:hAnsi="Verdana"/>
          <w:color w:val="000000"/>
          <w:sz w:val="20"/>
          <w:szCs w:val="20"/>
        </w:rPr>
        <w:t>remito a su lectura</w:t>
      </w:r>
      <w:r w:rsidR="00D17FA9" w:rsidRPr="005A4DF1">
        <w:rPr>
          <w:rStyle w:val="FootnoteReference"/>
          <w:rFonts w:ascii="Verdana" w:hAnsi="Verdana"/>
          <w:bCs/>
          <w:sz w:val="20"/>
          <w:szCs w:val="20"/>
        </w:rPr>
        <w:footnoteReference w:id="15"/>
      </w:r>
      <w:r w:rsidR="00BA7C5B" w:rsidRPr="005A4DF1">
        <w:rPr>
          <w:rStyle w:val="Strong"/>
          <w:rFonts w:ascii="Verdana" w:hAnsi="Verdana"/>
          <w:b w:val="0"/>
          <w:sz w:val="20"/>
          <w:szCs w:val="20"/>
        </w:rPr>
        <w:t xml:space="preserve">. </w:t>
      </w:r>
      <w:r w:rsidR="00BA7C5B" w:rsidRPr="005A4DF1">
        <w:rPr>
          <w:rFonts w:ascii="Verdana" w:hAnsi="Verdana"/>
          <w:color w:val="000000"/>
          <w:sz w:val="20"/>
          <w:szCs w:val="20"/>
        </w:rPr>
        <w:t>A</w:t>
      </w:r>
      <w:r w:rsidR="00D17FA9" w:rsidRPr="005A4DF1">
        <w:rPr>
          <w:rFonts w:ascii="Verdana" w:hAnsi="Verdana"/>
          <w:color w:val="000000"/>
          <w:sz w:val="20"/>
          <w:szCs w:val="20"/>
        </w:rPr>
        <w:t xml:space="preserve">grego a continuación algunos fundamentos </w:t>
      </w:r>
      <w:r w:rsidR="00BA7C5B" w:rsidRPr="005A4DF1">
        <w:rPr>
          <w:rFonts w:ascii="Verdana" w:hAnsi="Verdana"/>
          <w:color w:val="000000"/>
          <w:sz w:val="20"/>
          <w:szCs w:val="20"/>
        </w:rPr>
        <w:t>adicionales</w:t>
      </w:r>
      <w:r w:rsidR="00C45D89">
        <w:rPr>
          <w:rFonts w:ascii="Verdana" w:hAnsi="Verdana"/>
          <w:color w:val="000000"/>
          <w:sz w:val="20"/>
          <w:szCs w:val="20"/>
        </w:rPr>
        <w:t xml:space="preserve"> que deben considerarse</w:t>
      </w:r>
      <w:r w:rsidR="00BA7C5B" w:rsidRPr="005A4DF1">
        <w:rPr>
          <w:rFonts w:ascii="Verdana" w:hAnsi="Verdana"/>
          <w:color w:val="000000"/>
          <w:sz w:val="20"/>
          <w:szCs w:val="20"/>
        </w:rPr>
        <w:t>.</w:t>
      </w:r>
    </w:p>
    <w:p w14:paraId="36EF5D8D" w14:textId="77777777" w:rsidR="00BA7C5B" w:rsidRPr="005A4DF1" w:rsidRDefault="00BA7C5B" w:rsidP="00454C7F">
      <w:pPr>
        <w:pStyle w:val="ListParagraph"/>
        <w:ind w:left="0"/>
        <w:contextualSpacing w:val="0"/>
        <w:jc w:val="both"/>
        <w:rPr>
          <w:rFonts w:ascii="Verdana" w:hAnsi="Verdana"/>
          <w:sz w:val="20"/>
          <w:szCs w:val="20"/>
        </w:rPr>
      </w:pPr>
    </w:p>
    <w:p w14:paraId="69D23EF1" w14:textId="7B11CEAB" w:rsidR="00D17FA9" w:rsidRPr="005A4DF1" w:rsidRDefault="00E05E9E" w:rsidP="00454C7F">
      <w:pPr>
        <w:pStyle w:val="ListParagraph"/>
        <w:ind w:left="0"/>
        <w:contextualSpacing w:val="0"/>
        <w:jc w:val="both"/>
        <w:rPr>
          <w:rFonts w:ascii="Verdana" w:hAnsi="Verdana"/>
          <w:sz w:val="20"/>
          <w:szCs w:val="20"/>
        </w:rPr>
      </w:pPr>
      <w:r w:rsidRPr="005A4DF1">
        <w:rPr>
          <w:rFonts w:ascii="Verdana" w:hAnsi="Verdana"/>
          <w:sz w:val="20"/>
          <w:szCs w:val="20"/>
        </w:rPr>
        <w:t xml:space="preserve">19. </w:t>
      </w:r>
      <w:r w:rsidRPr="005A4DF1">
        <w:rPr>
          <w:rFonts w:ascii="Verdana" w:hAnsi="Verdana"/>
          <w:sz w:val="20"/>
          <w:szCs w:val="20"/>
        </w:rPr>
        <w:tab/>
      </w:r>
      <w:r w:rsidR="00C45D89">
        <w:rPr>
          <w:rFonts w:ascii="Verdana" w:hAnsi="Verdana"/>
          <w:sz w:val="20"/>
          <w:szCs w:val="20"/>
        </w:rPr>
        <w:t>Una argumentación recurrente</w:t>
      </w:r>
      <w:r w:rsidR="00D17FA9" w:rsidRPr="005A4DF1">
        <w:rPr>
          <w:rFonts w:ascii="Verdana" w:hAnsi="Verdana"/>
          <w:sz w:val="20"/>
          <w:szCs w:val="20"/>
        </w:rPr>
        <w:t xml:space="preserve"> para pretender negar competencia a la Corte </w:t>
      </w:r>
      <w:r w:rsidR="00BA7C5B" w:rsidRPr="005A4DF1">
        <w:rPr>
          <w:rFonts w:ascii="Verdana" w:hAnsi="Verdana"/>
          <w:sz w:val="20"/>
          <w:szCs w:val="20"/>
        </w:rPr>
        <w:t xml:space="preserve">IDH </w:t>
      </w:r>
      <w:r w:rsidR="00D17FA9" w:rsidRPr="005A4DF1">
        <w:rPr>
          <w:rFonts w:ascii="Verdana" w:hAnsi="Verdana"/>
          <w:sz w:val="20"/>
          <w:szCs w:val="20"/>
        </w:rPr>
        <w:t>en relación a los “derechos”</w:t>
      </w:r>
      <w:r w:rsidR="00C45D89">
        <w:rPr>
          <w:rFonts w:ascii="Verdana" w:hAnsi="Verdana"/>
          <w:sz w:val="20"/>
          <w:szCs w:val="20"/>
        </w:rPr>
        <w:t xml:space="preserve"> que consagra el artículo 26 parte del entendimiento de que</w:t>
      </w:r>
      <w:r w:rsidR="00D17FA9" w:rsidRPr="005A4DF1">
        <w:rPr>
          <w:rFonts w:ascii="Verdana" w:hAnsi="Verdana"/>
          <w:sz w:val="20"/>
          <w:szCs w:val="20"/>
        </w:rPr>
        <w:t xml:space="preserve"> esa norma no establece propiamente “derechos”, sino solo el compromiso de </w:t>
      </w:r>
      <w:r w:rsidR="00BA7C5B" w:rsidRPr="005A4DF1">
        <w:rPr>
          <w:rFonts w:ascii="Verdana" w:hAnsi="Verdana"/>
          <w:sz w:val="20"/>
          <w:szCs w:val="20"/>
        </w:rPr>
        <w:t>“</w:t>
      </w:r>
      <w:r w:rsidR="00D17FA9" w:rsidRPr="005A4DF1">
        <w:rPr>
          <w:rFonts w:ascii="Verdana" w:hAnsi="Verdana"/>
          <w:sz w:val="20"/>
          <w:szCs w:val="20"/>
        </w:rPr>
        <w:t>desarrollo progresivo</w:t>
      </w:r>
      <w:r w:rsidR="00BA7C5B" w:rsidRPr="005A4DF1">
        <w:rPr>
          <w:rFonts w:ascii="Verdana" w:hAnsi="Verdana"/>
          <w:sz w:val="20"/>
          <w:szCs w:val="20"/>
        </w:rPr>
        <w:t>”</w:t>
      </w:r>
      <w:r w:rsidR="00D17FA9" w:rsidRPr="005A4DF1">
        <w:rPr>
          <w:rFonts w:ascii="Verdana" w:hAnsi="Verdana"/>
          <w:sz w:val="20"/>
          <w:szCs w:val="20"/>
        </w:rPr>
        <w:t>; es de</w:t>
      </w:r>
      <w:r w:rsidR="00605E16">
        <w:rPr>
          <w:rFonts w:ascii="Verdana" w:hAnsi="Verdana"/>
          <w:sz w:val="20"/>
          <w:szCs w:val="20"/>
        </w:rPr>
        <w:t>cir, un objetivo programático.</w:t>
      </w:r>
      <w:r w:rsidR="00FF741E">
        <w:rPr>
          <w:rFonts w:ascii="Verdana" w:hAnsi="Verdana"/>
          <w:sz w:val="20"/>
          <w:szCs w:val="20"/>
        </w:rPr>
        <w:t xml:space="preserve"> </w:t>
      </w:r>
      <w:r w:rsidR="00343D08">
        <w:rPr>
          <w:rFonts w:ascii="Verdana" w:hAnsi="Verdana"/>
          <w:sz w:val="20"/>
          <w:szCs w:val="20"/>
        </w:rPr>
        <w:t>Considero que esta perspectiva que se argumenta resulta limitada a la luz de la protección que debe brindar el Sistema Interamericano por lo que no comparto esta visión por diversos motivos.</w:t>
      </w:r>
    </w:p>
    <w:p w14:paraId="41C58DCD" w14:textId="77777777" w:rsidR="00D17FA9" w:rsidRPr="005A4DF1" w:rsidRDefault="00D17FA9" w:rsidP="00454C7F">
      <w:pPr>
        <w:pStyle w:val="ListParagraph"/>
        <w:ind w:left="0"/>
        <w:contextualSpacing w:val="0"/>
        <w:jc w:val="both"/>
        <w:rPr>
          <w:rFonts w:ascii="Verdana" w:hAnsi="Verdana"/>
          <w:sz w:val="20"/>
          <w:szCs w:val="20"/>
        </w:rPr>
      </w:pPr>
    </w:p>
    <w:p w14:paraId="52DDBAAD" w14:textId="507AA986" w:rsidR="00D17FA9" w:rsidRPr="005A4DF1" w:rsidRDefault="00E05E9E" w:rsidP="00454C7F">
      <w:pPr>
        <w:pStyle w:val="ListParagraph"/>
        <w:ind w:left="0"/>
        <w:contextualSpacing w:val="0"/>
        <w:jc w:val="both"/>
        <w:rPr>
          <w:rFonts w:ascii="Verdana" w:hAnsi="Verdana"/>
          <w:sz w:val="20"/>
          <w:szCs w:val="20"/>
        </w:rPr>
      </w:pPr>
      <w:r w:rsidRPr="005A4DF1">
        <w:rPr>
          <w:rFonts w:ascii="Verdana" w:hAnsi="Verdana"/>
          <w:sz w:val="20"/>
          <w:szCs w:val="20"/>
        </w:rPr>
        <w:t xml:space="preserve">20. </w:t>
      </w:r>
      <w:r w:rsidRPr="005A4DF1">
        <w:rPr>
          <w:rFonts w:ascii="Verdana" w:hAnsi="Verdana"/>
          <w:sz w:val="20"/>
          <w:szCs w:val="20"/>
        </w:rPr>
        <w:tab/>
      </w:r>
      <w:r w:rsidR="00BA7C5B" w:rsidRPr="005A4DF1">
        <w:rPr>
          <w:rFonts w:ascii="Verdana" w:hAnsi="Verdana"/>
          <w:sz w:val="20"/>
          <w:szCs w:val="20"/>
        </w:rPr>
        <w:t>En primer lugar, de acuerdo al te</w:t>
      </w:r>
      <w:r w:rsidR="00D17FA9" w:rsidRPr="005A4DF1">
        <w:rPr>
          <w:rFonts w:ascii="Verdana" w:hAnsi="Verdana"/>
          <w:sz w:val="20"/>
          <w:szCs w:val="20"/>
        </w:rPr>
        <w:t>xto del artículo 26</w:t>
      </w:r>
      <w:r w:rsidR="00BA7C5B" w:rsidRPr="005A4DF1">
        <w:rPr>
          <w:rFonts w:ascii="Verdana" w:hAnsi="Verdana"/>
          <w:sz w:val="20"/>
          <w:szCs w:val="20"/>
        </w:rPr>
        <w:t>,</w:t>
      </w:r>
      <w:r w:rsidR="00D17FA9" w:rsidRPr="005A4DF1">
        <w:rPr>
          <w:rFonts w:ascii="Verdana" w:hAnsi="Verdana"/>
          <w:sz w:val="20"/>
          <w:szCs w:val="20"/>
        </w:rPr>
        <w:t xml:space="preserve"> el compromiso de desarrollo progresivo se refiere a “derechos”, por el s</w:t>
      </w:r>
      <w:r w:rsidR="00BA7C5B" w:rsidRPr="005A4DF1">
        <w:rPr>
          <w:rFonts w:ascii="Verdana" w:hAnsi="Verdana"/>
          <w:sz w:val="20"/>
          <w:szCs w:val="20"/>
        </w:rPr>
        <w:t>eñalamiento literal de la norma; e</w:t>
      </w:r>
      <w:r w:rsidR="00D17FA9" w:rsidRPr="005A4DF1">
        <w:rPr>
          <w:rFonts w:ascii="Verdana" w:hAnsi="Verdana"/>
          <w:sz w:val="20"/>
          <w:szCs w:val="20"/>
        </w:rPr>
        <w:t xml:space="preserve">s decir, no podría predicarse tal obligación sino respecto de “derechos”, por lo que es imperioso colegir que la norma refiere a “derechos” y no a meros objetivos. </w:t>
      </w:r>
    </w:p>
    <w:p w14:paraId="1F4F6A72" w14:textId="77777777" w:rsidR="00D17FA9" w:rsidRPr="005A4DF1" w:rsidRDefault="00D17FA9" w:rsidP="00454C7F">
      <w:pPr>
        <w:pStyle w:val="ListParagraph"/>
        <w:ind w:left="0"/>
        <w:contextualSpacing w:val="0"/>
        <w:jc w:val="both"/>
        <w:rPr>
          <w:rFonts w:ascii="Verdana" w:hAnsi="Verdana"/>
          <w:sz w:val="20"/>
          <w:szCs w:val="20"/>
        </w:rPr>
      </w:pPr>
    </w:p>
    <w:p w14:paraId="44B36AF6" w14:textId="096B8E8A" w:rsidR="00D17FA9" w:rsidRPr="005A4DF1" w:rsidRDefault="00E05E9E" w:rsidP="00454C7F">
      <w:pPr>
        <w:pStyle w:val="ListParagraph"/>
        <w:ind w:left="0"/>
        <w:contextualSpacing w:val="0"/>
        <w:jc w:val="both"/>
        <w:rPr>
          <w:rFonts w:ascii="Verdana" w:hAnsi="Verdana"/>
          <w:sz w:val="20"/>
          <w:szCs w:val="20"/>
        </w:rPr>
      </w:pPr>
      <w:r w:rsidRPr="005A4DF1">
        <w:rPr>
          <w:rFonts w:ascii="Verdana" w:hAnsi="Verdana"/>
          <w:sz w:val="20"/>
          <w:szCs w:val="20"/>
        </w:rPr>
        <w:t xml:space="preserve">21. </w:t>
      </w:r>
      <w:r w:rsidRPr="005A4DF1">
        <w:rPr>
          <w:rFonts w:ascii="Verdana" w:hAnsi="Verdana"/>
          <w:sz w:val="20"/>
          <w:szCs w:val="20"/>
        </w:rPr>
        <w:tab/>
      </w:r>
      <w:r w:rsidR="00D17FA9" w:rsidRPr="005A4DF1">
        <w:rPr>
          <w:rFonts w:ascii="Verdana" w:hAnsi="Verdana"/>
          <w:sz w:val="20"/>
          <w:szCs w:val="20"/>
        </w:rPr>
        <w:t>Este ente</w:t>
      </w:r>
      <w:r w:rsidR="00C45D89">
        <w:rPr>
          <w:rFonts w:ascii="Verdana" w:hAnsi="Verdana"/>
          <w:sz w:val="20"/>
          <w:szCs w:val="20"/>
        </w:rPr>
        <w:t>ndimiento es acorde a lo previsto</w:t>
      </w:r>
      <w:r w:rsidR="00D17FA9" w:rsidRPr="005A4DF1">
        <w:rPr>
          <w:rFonts w:ascii="Verdana" w:hAnsi="Verdana"/>
          <w:sz w:val="20"/>
          <w:szCs w:val="20"/>
        </w:rPr>
        <w:t xml:space="preserve"> en la Convención de Viena sobre el Derecho de los Tratados</w:t>
      </w:r>
      <w:r w:rsidR="00D17FA9" w:rsidRPr="005A4DF1">
        <w:rPr>
          <w:rStyle w:val="FootnoteReference"/>
          <w:rFonts w:ascii="Verdana" w:hAnsi="Verdana"/>
          <w:sz w:val="20"/>
          <w:szCs w:val="20"/>
        </w:rPr>
        <w:footnoteReference w:id="16"/>
      </w:r>
      <w:r w:rsidR="00D17FA9" w:rsidRPr="005A4DF1">
        <w:rPr>
          <w:rFonts w:ascii="Verdana" w:hAnsi="Verdana"/>
          <w:sz w:val="20"/>
          <w:szCs w:val="20"/>
        </w:rPr>
        <w:t>, que manda a interpretar un tratado “de buena fe conforme al sentido corriente que haya de atribuirse a los términos del tratado en el contexto de estos y teniendo en cuenta su objeto y fin”</w:t>
      </w:r>
      <w:r w:rsidR="00D17FA9" w:rsidRPr="005A4DF1">
        <w:rPr>
          <w:rStyle w:val="FootnoteReference"/>
          <w:rFonts w:ascii="Verdana" w:hAnsi="Verdana"/>
          <w:sz w:val="20"/>
          <w:szCs w:val="20"/>
        </w:rPr>
        <w:footnoteReference w:id="17"/>
      </w:r>
      <w:r w:rsidR="00D17FA9" w:rsidRPr="005A4DF1">
        <w:rPr>
          <w:rFonts w:ascii="Verdana" w:hAnsi="Verdana"/>
          <w:sz w:val="20"/>
          <w:szCs w:val="20"/>
        </w:rPr>
        <w:t xml:space="preserve">. </w:t>
      </w:r>
      <w:r w:rsidR="00BA7C5B" w:rsidRPr="005A4DF1">
        <w:rPr>
          <w:rFonts w:ascii="Verdana" w:hAnsi="Verdana"/>
          <w:sz w:val="20"/>
          <w:szCs w:val="20"/>
        </w:rPr>
        <w:t>En ese sentido</w:t>
      </w:r>
      <w:r w:rsidR="00D17FA9" w:rsidRPr="005A4DF1">
        <w:rPr>
          <w:rFonts w:ascii="Verdana" w:hAnsi="Verdana"/>
          <w:sz w:val="20"/>
          <w:szCs w:val="20"/>
        </w:rPr>
        <w:t xml:space="preserve">, es evidente que un </w:t>
      </w:r>
      <w:r w:rsidR="00D17FA9" w:rsidRPr="005A4DF1">
        <w:rPr>
          <w:rFonts w:ascii="Verdana" w:hAnsi="Verdana"/>
          <w:sz w:val="20"/>
          <w:szCs w:val="20"/>
        </w:rPr>
        <w:lastRenderedPageBreak/>
        <w:t>entendimiento de buena fe de la palabra “derechos” inclu</w:t>
      </w:r>
      <w:r w:rsidR="00BA7C5B" w:rsidRPr="005A4DF1">
        <w:rPr>
          <w:rFonts w:ascii="Verdana" w:hAnsi="Verdana"/>
          <w:sz w:val="20"/>
          <w:szCs w:val="20"/>
        </w:rPr>
        <w:t>i</w:t>
      </w:r>
      <w:r w:rsidR="00D17FA9" w:rsidRPr="005A4DF1">
        <w:rPr>
          <w:rFonts w:ascii="Verdana" w:hAnsi="Verdana"/>
          <w:sz w:val="20"/>
          <w:szCs w:val="20"/>
        </w:rPr>
        <w:t>da en el citado artículo 26, que sea “conforme al sentido corriente” del término, indica que el mismo se refiere a “derechos” propiamente dichos, de igual naturaleza que el resto de los “derechos” aludidos en la Convención</w:t>
      </w:r>
      <w:r w:rsidR="00BA7C5B" w:rsidRPr="005A4DF1">
        <w:rPr>
          <w:rFonts w:ascii="Verdana" w:hAnsi="Verdana"/>
          <w:sz w:val="20"/>
          <w:szCs w:val="20"/>
        </w:rPr>
        <w:t xml:space="preserve"> Americana. Lo anterior se corrobora</w:t>
      </w:r>
      <w:r w:rsidR="00A32BE0" w:rsidRPr="005A4DF1">
        <w:rPr>
          <w:rFonts w:ascii="Verdana" w:hAnsi="Verdana"/>
          <w:sz w:val="20"/>
          <w:szCs w:val="20"/>
        </w:rPr>
        <w:t xml:space="preserve"> al advertirse que</w:t>
      </w:r>
      <w:r w:rsidR="00BA7C5B" w:rsidRPr="005A4DF1">
        <w:rPr>
          <w:rFonts w:ascii="Verdana" w:hAnsi="Verdana"/>
          <w:sz w:val="20"/>
          <w:szCs w:val="20"/>
        </w:rPr>
        <w:t xml:space="preserve"> precisamente el artículo 26 es el único artículo del Capítulo III denominado “</w:t>
      </w:r>
      <w:r w:rsidR="00BA7C5B" w:rsidRPr="005A4DF1">
        <w:rPr>
          <w:rFonts w:ascii="Verdana" w:hAnsi="Verdana"/>
          <w:sz w:val="20"/>
          <w:szCs w:val="20"/>
          <w:u w:val="single"/>
        </w:rPr>
        <w:t>Derechos</w:t>
      </w:r>
      <w:r w:rsidR="00BA7C5B" w:rsidRPr="005A4DF1">
        <w:rPr>
          <w:rFonts w:ascii="Verdana" w:hAnsi="Verdana"/>
          <w:sz w:val="20"/>
          <w:szCs w:val="20"/>
        </w:rPr>
        <w:t xml:space="preserve"> económicos, sociales y culturales”.</w:t>
      </w:r>
      <w:r w:rsidR="00D17FA9" w:rsidRPr="005A4DF1">
        <w:rPr>
          <w:rFonts w:ascii="Verdana" w:hAnsi="Verdana"/>
          <w:sz w:val="20"/>
          <w:szCs w:val="20"/>
        </w:rPr>
        <w:t xml:space="preserve"> Tal entendim</w:t>
      </w:r>
      <w:r w:rsidR="00605E16">
        <w:rPr>
          <w:rFonts w:ascii="Verdana" w:hAnsi="Verdana"/>
          <w:sz w:val="20"/>
          <w:szCs w:val="20"/>
        </w:rPr>
        <w:t>i</w:t>
      </w:r>
      <w:r w:rsidR="00D17FA9" w:rsidRPr="005A4DF1">
        <w:rPr>
          <w:rFonts w:ascii="Verdana" w:hAnsi="Verdana"/>
          <w:sz w:val="20"/>
          <w:szCs w:val="20"/>
        </w:rPr>
        <w:t xml:space="preserve">ento es acorde al objeto y fin del tratado, que propende a la protección de los derechos de la persona humana. </w:t>
      </w:r>
    </w:p>
    <w:p w14:paraId="321B2726" w14:textId="77777777" w:rsidR="00D17FA9" w:rsidRPr="005A4DF1" w:rsidRDefault="00D17FA9" w:rsidP="00454C7F">
      <w:pPr>
        <w:pStyle w:val="Estilo4"/>
        <w:numPr>
          <w:ilvl w:val="0"/>
          <w:numId w:val="0"/>
        </w:numPr>
        <w:spacing w:after="0"/>
        <w:ind w:left="720"/>
        <w:jc w:val="both"/>
        <w:rPr>
          <w:rFonts w:ascii="Verdana" w:hAnsi="Verdana"/>
          <w:sz w:val="20"/>
          <w:szCs w:val="20"/>
          <w:lang w:val="es-ES_tradnl"/>
        </w:rPr>
      </w:pPr>
    </w:p>
    <w:p w14:paraId="5667E3AD" w14:textId="7D18A4F5" w:rsidR="00A32BE0" w:rsidRDefault="00E05E9E" w:rsidP="00A63FE1">
      <w:pPr>
        <w:pStyle w:val="Estilo4"/>
        <w:numPr>
          <w:ilvl w:val="0"/>
          <w:numId w:val="0"/>
        </w:numPr>
        <w:spacing w:after="0" w:line="240" w:lineRule="auto"/>
        <w:jc w:val="both"/>
        <w:rPr>
          <w:rFonts w:ascii="Verdana" w:hAnsi="Verdana"/>
          <w:sz w:val="20"/>
          <w:szCs w:val="20"/>
          <w:lang w:val="es-ES_tradnl"/>
        </w:rPr>
      </w:pPr>
      <w:r w:rsidRPr="005A4DF1">
        <w:rPr>
          <w:rFonts w:ascii="Verdana" w:hAnsi="Verdana"/>
          <w:sz w:val="20"/>
          <w:szCs w:val="20"/>
          <w:lang w:val="es-ES_tradnl"/>
        </w:rPr>
        <w:t xml:space="preserve">22. </w:t>
      </w:r>
      <w:r w:rsidRPr="005A4DF1">
        <w:rPr>
          <w:rFonts w:ascii="Verdana" w:hAnsi="Verdana"/>
          <w:sz w:val="20"/>
          <w:szCs w:val="20"/>
          <w:lang w:val="es-ES_tradnl"/>
        </w:rPr>
        <w:tab/>
      </w:r>
      <w:r w:rsidR="00343D08">
        <w:rPr>
          <w:rFonts w:ascii="Verdana" w:hAnsi="Verdana"/>
          <w:sz w:val="20"/>
          <w:szCs w:val="20"/>
          <w:lang w:val="es-ES_tradnl"/>
        </w:rPr>
        <w:t>Así, el artículo 26 no es</w:t>
      </w:r>
      <w:r w:rsidR="00A32BE0" w:rsidRPr="005A4DF1">
        <w:rPr>
          <w:rFonts w:ascii="Verdana" w:hAnsi="Verdana"/>
          <w:sz w:val="20"/>
          <w:szCs w:val="20"/>
          <w:lang w:val="es-ES_tradnl"/>
        </w:rPr>
        <w:t xml:space="preserve"> meramente una norma programática para los Estados Parte de la Convención</w:t>
      </w:r>
      <w:r w:rsidR="00343D08">
        <w:rPr>
          <w:rFonts w:ascii="Verdana" w:hAnsi="Verdana"/>
          <w:sz w:val="20"/>
          <w:szCs w:val="20"/>
          <w:lang w:val="es-ES_tradnl"/>
        </w:rPr>
        <w:t xml:space="preserve"> Americana</w:t>
      </w:r>
      <w:r w:rsidR="00A32BE0" w:rsidRPr="005A4DF1">
        <w:rPr>
          <w:rFonts w:ascii="Verdana" w:hAnsi="Verdana"/>
          <w:sz w:val="20"/>
          <w:szCs w:val="20"/>
          <w:lang w:val="es-ES_tradnl"/>
        </w:rPr>
        <w:t xml:space="preserve">, sino </w:t>
      </w:r>
      <w:r w:rsidR="00343D08">
        <w:rPr>
          <w:rFonts w:ascii="Verdana" w:hAnsi="Verdana"/>
          <w:sz w:val="20"/>
          <w:szCs w:val="20"/>
          <w:lang w:val="es-ES_tradnl"/>
        </w:rPr>
        <w:t xml:space="preserve">que constituye </w:t>
      </w:r>
      <w:r w:rsidR="00A32BE0" w:rsidRPr="005A4DF1">
        <w:rPr>
          <w:rFonts w:ascii="Verdana" w:hAnsi="Verdana"/>
          <w:sz w:val="20"/>
          <w:szCs w:val="20"/>
          <w:lang w:val="es-ES_tradnl"/>
        </w:rPr>
        <w:t xml:space="preserve">una disposición que </w:t>
      </w:r>
      <w:r w:rsidR="00343D08">
        <w:rPr>
          <w:rFonts w:ascii="Verdana" w:hAnsi="Verdana"/>
          <w:sz w:val="20"/>
          <w:szCs w:val="20"/>
          <w:lang w:val="es-ES_tradnl"/>
        </w:rPr>
        <w:t xml:space="preserve">impone a la Corte IDH derivar derechos de las normas existentes en la Carta de la OEA, por lo que, atendiendo al caso concreto, </w:t>
      </w:r>
      <w:r w:rsidR="00A32BE0" w:rsidRPr="005A4DF1">
        <w:rPr>
          <w:rFonts w:ascii="Verdana" w:hAnsi="Verdana"/>
          <w:sz w:val="20"/>
          <w:szCs w:val="20"/>
          <w:lang w:val="es-ES_tradnl"/>
        </w:rPr>
        <w:t xml:space="preserve">contiene derechos </w:t>
      </w:r>
      <w:r w:rsidR="00343D08">
        <w:rPr>
          <w:rFonts w:ascii="Verdana" w:hAnsi="Verdana"/>
          <w:sz w:val="20"/>
          <w:szCs w:val="20"/>
          <w:lang w:val="es-ES_tradnl"/>
        </w:rPr>
        <w:t xml:space="preserve">de naturaleza económica, social o cultural </w:t>
      </w:r>
      <w:r w:rsidR="00A32BE0" w:rsidRPr="005A4DF1">
        <w:rPr>
          <w:rFonts w:ascii="Verdana" w:hAnsi="Verdana"/>
          <w:sz w:val="20"/>
          <w:szCs w:val="20"/>
          <w:lang w:val="es-ES_tradnl"/>
        </w:rPr>
        <w:t>y no meros objetivos. En cuanto a cómo dilucidar cuáles son esos derechos</w:t>
      </w:r>
      <w:r w:rsidR="00C45D89">
        <w:rPr>
          <w:rFonts w:ascii="Verdana" w:hAnsi="Verdana"/>
          <w:sz w:val="20"/>
          <w:szCs w:val="20"/>
          <w:lang w:val="es-ES_tradnl"/>
        </w:rPr>
        <w:t xml:space="preserve"> y las vías interpretativas para ello</w:t>
      </w:r>
      <w:r w:rsidR="00A32BE0" w:rsidRPr="005A4DF1">
        <w:rPr>
          <w:rFonts w:ascii="Verdana" w:hAnsi="Verdana"/>
          <w:sz w:val="20"/>
          <w:szCs w:val="20"/>
          <w:lang w:val="es-ES_tradnl"/>
        </w:rPr>
        <w:t>, me remito a lo expuesto en mis votos razonados anteriores</w:t>
      </w:r>
      <w:r w:rsidR="00C45D89">
        <w:rPr>
          <w:rStyle w:val="FootnoteReference"/>
          <w:rFonts w:ascii="Verdana" w:hAnsi="Verdana"/>
          <w:sz w:val="20"/>
          <w:szCs w:val="20"/>
          <w:lang w:val="es-ES_tradnl"/>
        </w:rPr>
        <w:footnoteReference w:id="18"/>
      </w:r>
      <w:r w:rsidR="00A32BE0" w:rsidRPr="005A4DF1">
        <w:rPr>
          <w:rFonts w:ascii="Verdana" w:hAnsi="Verdana"/>
          <w:sz w:val="20"/>
          <w:szCs w:val="20"/>
          <w:lang w:val="es-ES_tradnl"/>
        </w:rPr>
        <w:t>.</w:t>
      </w:r>
    </w:p>
    <w:p w14:paraId="54C98679" w14:textId="77777777" w:rsidR="00822A25" w:rsidRPr="005A4DF1" w:rsidRDefault="00822A25" w:rsidP="00A63FE1">
      <w:pPr>
        <w:pStyle w:val="Estilo4"/>
        <w:numPr>
          <w:ilvl w:val="0"/>
          <w:numId w:val="0"/>
        </w:numPr>
        <w:spacing w:after="0" w:line="240" w:lineRule="auto"/>
        <w:jc w:val="both"/>
        <w:rPr>
          <w:rFonts w:ascii="Verdana" w:hAnsi="Verdana"/>
          <w:sz w:val="20"/>
          <w:szCs w:val="20"/>
          <w:lang w:val="es-ES_tradnl"/>
        </w:rPr>
      </w:pPr>
    </w:p>
    <w:p w14:paraId="705C7D61" w14:textId="5CAAF2AA" w:rsidR="00A32BE0" w:rsidRPr="005A4DF1" w:rsidRDefault="00E05E9E" w:rsidP="00A63FE1">
      <w:pPr>
        <w:pStyle w:val="Estilo4"/>
        <w:numPr>
          <w:ilvl w:val="0"/>
          <w:numId w:val="0"/>
        </w:numPr>
        <w:spacing w:after="0" w:line="240" w:lineRule="auto"/>
        <w:jc w:val="both"/>
        <w:rPr>
          <w:rFonts w:ascii="Verdana" w:hAnsi="Verdana"/>
          <w:sz w:val="20"/>
          <w:szCs w:val="20"/>
          <w:lang w:val="es-ES_tradnl"/>
        </w:rPr>
      </w:pPr>
      <w:r w:rsidRPr="005A4DF1">
        <w:rPr>
          <w:rFonts w:ascii="Verdana" w:hAnsi="Verdana"/>
          <w:sz w:val="20"/>
          <w:szCs w:val="20"/>
          <w:lang w:val="es-ES_tradnl"/>
        </w:rPr>
        <w:t xml:space="preserve">23. </w:t>
      </w:r>
      <w:r w:rsidRPr="005A4DF1">
        <w:rPr>
          <w:rFonts w:ascii="Verdana" w:hAnsi="Verdana"/>
          <w:sz w:val="20"/>
          <w:szCs w:val="20"/>
          <w:lang w:val="es-ES_tradnl"/>
        </w:rPr>
        <w:tab/>
      </w:r>
      <w:r w:rsidR="00343D08">
        <w:rPr>
          <w:rFonts w:ascii="Verdana" w:hAnsi="Verdana"/>
          <w:sz w:val="20"/>
          <w:szCs w:val="20"/>
          <w:lang w:val="es-ES_tradnl"/>
        </w:rPr>
        <w:t>En segundo lugar, y siguiendo con la argumentación precedente, n</w:t>
      </w:r>
      <w:r w:rsidR="008D2EB8" w:rsidRPr="005A4DF1">
        <w:rPr>
          <w:rFonts w:ascii="Verdana" w:hAnsi="Verdana"/>
          <w:sz w:val="20"/>
          <w:szCs w:val="20"/>
          <w:lang w:val="es-ES_tradnl"/>
        </w:rPr>
        <w:t>o puede pasar inadvertido que el artículo 26 de la Convención Americana</w:t>
      </w:r>
      <w:r w:rsidR="00A32BE0" w:rsidRPr="005A4DF1">
        <w:rPr>
          <w:rFonts w:ascii="Verdana" w:hAnsi="Verdana"/>
          <w:sz w:val="20"/>
          <w:szCs w:val="20"/>
          <w:lang w:val="es-ES_tradnl"/>
        </w:rPr>
        <w:t xml:space="preserve"> expresamente indica que de las normas pertinentes de la Carta de la O</w:t>
      </w:r>
      <w:r w:rsidR="00343D08">
        <w:rPr>
          <w:rFonts w:ascii="Verdana" w:hAnsi="Verdana"/>
          <w:sz w:val="20"/>
          <w:szCs w:val="20"/>
          <w:lang w:val="es-ES_tradnl"/>
        </w:rPr>
        <w:t>EA</w:t>
      </w:r>
      <w:r w:rsidR="00A32BE0" w:rsidRPr="005A4DF1">
        <w:rPr>
          <w:rStyle w:val="FootnoteReference"/>
          <w:rFonts w:ascii="Verdana" w:hAnsi="Verdana"/>
          <w:sz w:val="20"/>
          <w:szCs w:val="20"/>
          <w:lang w:val="es-ES_tradnl"/>
        </w:rPr>
        <w:footnoteReference w:id="19"/>
      </w:r>
      <w:r w:rsidR="00A32BE0" w:rsidRPr="005A4DF1">
        <w:rPr>
          <w:rFonts w:ascii="Verdana" w:hAnsi="Verdana"/>
          <w:sz w:val="20"/>
          <w:szCs w:val="20"/>
          <w:lang w:val="es-ES_tradnl"/>
        </w:rPr>
        <w:t xml:space="preserve"> se “derivan” derechos. El sentido literal es claro</w:t>
      </w:r>
      <w:r w:rsidR="00A32BE0" w:rsidRPr="005A4DF1">
        <w:rPr>
          <w:rStyle w:val="FootnoteReference"/>
          <w:rFonts w:ascii="Verdana" w:hAnsi="Verdana"/>
          <w:sz w:val="20"/>
          <w:szCs w:val="20"/>
          <w:lang w:val="es-ES_tradnl"/>
        </w:rPr>
        <w:footnoteReference w:id="20"/>
      </w:r>
      <w:r w:rsidR="00A32BE0" w:rsidRPr="005A4DF1">
        <w:rPr>
          <w:rFonts w:ascii="Verdana" w:hAnsi="Verdana"/>
          <w:sz w:val="20"/>
          <w:szCs w:val="20"/>
          <w:lang w:val="es-ES_tradnl"/>
        </w:rPr>
        <w:t xml:space="preserve">: la norma </w:t>
      </w:r>
      <w:r w:rsidR="00343D08">
        <w:rPr>
          <w:rFonts w:ascii="Verdana" w:hAnsi="Verdana"/>
          <w:sz w:val="20"/>
          <w:szCs w:val="20"/>
          <w:lang w:val="es-ES_tradnl"/>
        </w:rPr>
        <w:t xml:space="preserve">no señala </w:t>
      </w:r>
      <w:r w:rsidR="00A32BE0" w:rsidRPr="005A4DF1">
        <w:rPr>
          <w:rFonts w:ascii="Verdana" w:hAnsi="Verdana"/>
          <w:sz w:val="20"/>
          <w:szCs w:val="20"/>
          <w:lang w:val="es-ES_tradnl"/>
        </w:rPr>
        <w:t xml:space="preserve">que para esclarecer cuáles son los “derechos” a los que se refiere </w:t>
      </w:r>
      <w:r w:rsidR="00343D08">
        <w:rPr>
          <w:rFonts w:ascii="Verdana" w:hAnsi="Verdana"/>
          <w:sz w:val="20"/>
          <w:szCs w:val="20"/>
          <w:lang w:val="es-ES_tradnl"/>
        </w:rPr>
        <w:t>el artículo 26 deba</w:t>
      </w:r>
      <w:r w:rsidR="00A32BE0" w:rsidRPr="005A4DF1">
        <w:rPr>
          <w:rFonts w:ascii="Verdana" w:hAnsi="Verdana"/>
          <w:sz w:val="20"/>
          <w:szCs w:val="20"/>
          <w:lang w:val="es-ES_tradnl"/>
        </w:rPr>
        <w:t xml:space="preserve"> buscarse a aquellos derechos que estén reconocidos expresamente como tales en la Carta de la OEA; por el contrario, </w:t>
      </w:r>
      <w:r w:rsidR="008D2EB8" w:rsidRPr="005A4DF1">
        <w:rPr>
          <w:rFonts w:ascii="Verdana" w:hAnsi="Verdana"/>
          <w:sz w:val="20"/>
          <w:szCs w:val="20"/>
          <w:lang w:val="es-ES_tradnl"/>
        </w:rPr>
        <w:t xml:space="preserve">lo que expresa </w:t>
      </w:r>
      <w:r w:rsidR="00A32BE0" w:rsidRPr="005A4DF1">
        <w:rPr>
          <w:rFonts w:ascii="Verdana" w:hAnsi="Verdana"/>
          <w:sz w:val="20"/>
          <w:szCs w:val="20"/>
          <w:lang w:val="es-ES_tradnl"/>
        </w:rPr>
        <w:t>e</w:t>
      </w:r>
      <w:r w:rsidR="008D2EB8" w:rsidRPr="005A4DF1">
        <w:rPr>
          <w:rFonts w:ascii="Verdana" w:hAnsi="Verdana"/>
          <w:sz w:val="20"/>
          <w:szCs w:val="20"/>
          <w:lang w:val="es-ES_tradnl"/>
        </w:rPr>
        <w:t xml:space="preserve">ste precepto </w:t>
      </w:r>
      <w:r w:rsidR="00343D08">
        <w:rPr>
          <w:rFonts w:ascii="Verdana" w:hAnsi="Verdana"/>
          <w:sz w:val="20"/>
          <w:szCs w:val="20"/>
          <w:lang w:val="es-ES_tradnl"/>
        </w:rPr>
        <w:t xml:space="preserve">—siendo el mandato principal del artículo 26— </w:t>
      </w:r>
      <w:r w:rsidR="008D2EB8" w:rsidRPr="005A4DF1">
        <w:rPr>
          <w:rFonts w:ascii="Verdana" w:hAnsi="Verdana"/>
          <w:sz w:val="20"/>
          <w:szCs w:val="20"/>
          <w:lang w:val="es-ES_tradnl"/>
        </w:rPr>
        <w:t>es que</w:t>
      </w:r>
      <w:r w:rsidR="00A32BE0" w:rsidRPr="005A4DF1">
        <w:rPr>
          <w:rFonts w:ascii="Verdana" w:hAnsi="Verdana"/>
          <w:sz w:val="20"/>
          <w:szCs w:val="20"/>
          <w:lang w:val="es-ES_tradnl"/>
        </w:rPr>
        <w:t xml:space="preserve"> hay derechos que se “derivan” de ciertas normas de la Carta: “</w:t>
      </w:r>
      <w:r w:rsidR="00A32BE0" w:rsidRPr="005A4DF1">
        <w:rPr>
          <w:rFonts w:ascii="Verdana" w:hAnsi="Verdana"/>
          <w:sz w:val="20"/>
          <w:szCs w:val="20"/>
        </w:rPr>
        <w:t>las normas económicas, sociales y sobre educación, ciencia y cultura”.</w:t>
      </w:r>
      <w:r w:rsidR="00A32BE0" w:rsidRPr="005A4DF1">
        <w:rPr>
          <w:rFonts w:ascii="Verdana" w:hAnsi="Verdana"/>
          <w:sz w:val="20"/>
          <w:szCs w:val="20"/>
          <w:lang w:val="es-ES_tradnl"/>
        </w:rPr>
        <w:t xml:space="preserve"> </w:t>
      </w:r>
    </w:p>
    <w:p w14:paraId="4E83E8FD" w14:textId="77777777" w:rsidR="00A32BE0" w:rsidRPr="005A4DF1" w:rsidRDefault="00A32BE0" w:rsidP="00454C7F">
      <w:pPr>
        <w:pStyle w:val="Estilo4"/>
        <w:numPr>
          <w:ilvl w:val="0"/>
          <w:numId w:val="0"/>
        </w:numPr>
        <w:spacing w:after="0"/>
        <w:jc w:val="both"/>
        <w:rPr>
          <w:rFonts w:ascii="Verdana" w:hAnsi="Verdana"/>
          <w:sz w:val="20"/>
          <w:szCs w:val="20"/>
          <w:lang w:val="es-ES_tradnl"/>
        </w:rPr>
      </w:pPr>
    </w:p>
    <w:p w14:paraId="1F5E94CD" w14:textId="56183673" w:rsidR="00A32BE0" w:rsidRPr="005A4DF1" w:rsidRDefault="00E05E9E" w:rsidP="00454C7F">
      <w:pPr>
        <w:pStyle w:val="Estilo4"/>
        <w:numPr>
          <w:ilvl w:val="0"/>
          <w:numId w:val="0"/>
        </w:numPr>
        <w:spacing w:after="0"/>
        <w:jc w:val="both"/>
        <w:rPr>
          <w:rFonts w:ascii="Verdana" w:hAnsi="Verdana"/>
          <w:sz w:val="20"/>
          <w:szCs w:val="20"/>
          <w:lang w:val="es-ES_tradnl"/>
        </w:rPr>
      </w:pPr>
      <w:r w:rsidRPr="005A4DF1">
        <w:rPr>
          <w:rFonts w:ascii="Verdana" w:hAnsi="Verdana"/>
          <w:sz w:val="20"/>
          <w:szCs w:val="20"/>
          <w:lang w:val="es-ES_tradnl"/>
        </w:rPr>
        <w:t xml:space="preserve">24. </w:t>
      </w:r>
      <w:r w:rsidRPr="005A4DF1">
        <w:rPr>
          <w:rFonts w:ascii="Verdana" w:hAnsi="Verdana"/>
          <w:sz w:val="20"/>
          <w:szCs w:val="20"/>
          <w:lang w:val="es-ES_tradnl"/>
        </w:rPr>
        <w:tab/>
      </w:r>
      <w:r w:rsidR="00A32BE0" w:rsidRPr="005A4DF1">
        <w:rPr>
          <w:rFonts w:ascii="Verdana" w:hAnsi="Verdana"/>
          <w:sz w:val="20"/>
          <w:szCs w:val="20"/>
          <w:lang w:val="es-ES_tradnl"/>
        </w:rPr>
        <w:t>De acuerdo al diccionario de la Real Academia Española “derivar”, en las acepciones pertinentes, es: “[d]</w:t>
      </w:r>
      <w:r w:rsidR="00A32BE0" w:rsidRPr="005A4DF1">
        <w:rPr>
          <w:rFonts w:ascii="Verdana" w:eastAsia="Arial Unicode MS" w:hAnsi="Verdana" w:cs="Arial Unicode MS"/>
          <w:sz w:val="20"/>
          <w:szCs w:val="20"/>
          <w:lang w:val="es-ES_tradnl"/>
        </w:rPr>
        <w:t>icho de un</w:t>
      </w:r>
      <w:r w:rsidR="00A73E26">
        <w:rPr>
          <w:rFonts w:ascii="Verdana" w:eastAsia="Arial Unicode MS" w:hAnsi="Verdana" w:cs="Arial Unicode MS"/>
          <w:sz w:val="20"/>
          <w:szCs w:val="20"/>
          <w:lang w:val="es-ES_tradnl"/>
        </w:rPr>
        <w:t xml:space="preserve">a cosa: Traer su origen de </w:t>
      </w:r>
      <w:proofErr w:type="gramStart"/>
      <w:r w:rsidR="00A73E26">
        <w:rPr>
          <w:rFonts w:ascii="Verdana" w:eastAsia="Arial Unicode MS" w:hAnsi="Verdana" w:cs="Arial Unicode MS"/>
          <w:sz w:val="20"/>
          <w:szCs w:val="20"/>
          <w:lang w:val="es-ES_tradnl"/>
        </w:rPr>
        <w:t>otra</w:t>
      </w:r>
      <w:r w:rsidR="00A32BE0" w:rsidRPr="005A4DF1">
        <w:rPr>
          <w:rFonts w:ascii="Verdana" w:eastAsia="Arial Unicode MS" w:hAnsi="Verdana" w:cs="Arial Unicode MS"/>
          <w:sz w:val="20"/>
          <w:szCs w:val="20"/>
          <w:lang w:val="es-ES_tradnl"/>
        </w:rPr>
        <w:t>[</w:t>
      </w:r>
      <w:proofErr w:type="gramEnd"/>
      <w:r w:rsidR="00A32BE0" w:rsidRPr="005A4DF1">
        <w:rPr>
          <w:rFonts w:ascii="Verdana" w:eastAsia="Arial Unicode MS" w:hAnsi="Verdana" w:cs="Arial Unicode MS"/>
          <w:sz w:val="20"/>
          <w:szCs w:val="20"/>
          <w:lang w:val="es-ES_tradnl"/>
        </w:rPr>
        <w:t>; d]icho de una palabra: Proceder de cierta base léxica[, y] establecer una relación morfológica o etimológica entre dos voces”</w:t>
      </w:r>
      <w:r w:rsidR="008D2EB8" w:rsidRPr="005A4DF1">
        <w:rPr>
          <w:rStyle w:val="FootnoteReference"/>
          <w:rFonts w:ascii="Verdana" w:hAnsi="Verdana"/>
          <w:sz w:val="20"/>
          <w:szCs w:val="20"/>
          <w:lang w:val="es-ES_tradnl"/>
        </w:rPr>
        <w:t xml:space="preserve"> </w:t>
      </w:r>
      <w:r w:rsidR="008D2EB8" w:rsidRPr="005A4DF1">
        <w:rPr>
          <w:rStyle w:val="FootnoteReference"/>
          <w:rFonts w:ascii="Verdana" w:hAnsi="Verdana"/>
          <w:sz w:val="20"/>
          <w:szCs w:val="20"/>
          <w:lang w:val="es-ES_tradnl"/>
        </w:rPr>
        <w:footnoteReference w:id="21"/>
      </w:r>
      <w:r w:rsidR="00A32BE0" w:rsidRPr="005A4DF1">
        <w:rPr>
          <w:rFonts w:ascii="Verdana" w:eastAsia="Arial Unicode MS" w:hAnsi="Verdana" w:cs="Arial Unicode MS"/>
          <w:sz w:val="20"/>
          <w:szCs w:val="20"/>
          <w:lang w:val="es-ES_tradnl"/>
        </w:rPr>
        <w:t>.</w:t>
      </w:r>
    </w:p>
    <w:p w14:paraId="0A7F3C9D" w14:textId="77777777" w:rsidR="00A32BE0" w:rsidRPr="005A4DF1" w:rsidRDefault="00A32BE0" w:rsidP="00454C7F">
      <w:pPr>
        <w:pStyle w:val="Estilo4"/>
        <w:numPr>
          <w:ilvl w:val="0"/>
          <w:numId w:val="0"/>
        </w:numPr>
        <w:spacing w:after="0"/>
        <w:ind w:left="720"/>
        <w:jc w:val="both"/>
        <w:rPr>
          <w:rFonts w:ascii="Verdana" w:eastAsia="Arial Unicode MS" w:hAnsi="Verdana" w:cs="Arial Unicode MS"/>
          <w:sz w:val="20"/>
          <w:szCs w:val="20"/>
          <w:lang w:val="es-ES_tradnl"/>
        </w:rPr>
      </w:pPr>
    </w:p>
    <w:p w14:paraId="4E451918" w14:textId="6B9678B4" w:rsidR="00A32BE0" w:rsidRPr="005A4DF1" w:rsidRDefault="00E05E9E" w:rsidP="00454C7F">
      <w:pPr>
        <w:pStyle w:val="Estilo4"/>
        <w:numPr>
          <w:ilvl w:val="0"/>
          <w:numId w:val="0"/>
        </w:numPr>
        <w:spacing w:after="0"/>
        <w:jc w:val="both"/>
        <w:rPr>
          <w:rFonts w:ascii="Verdana" w:eastAsia="Arial Unicode MS" w:hAnsi="Verdana" w:cs="Arial Unicode MS"/>
          <w:sz w:val="20"/>
          <w:szCs w:val="20"/>
          <w:lang w:val="es-ES_tradnl"/>
        </w:rPr>
      </w:pPr>
      <w:r w:rsidRPr="005A4DF1">
        <w:rPr>
          <w:rFonts w:ascii="Verdana" w:eastAsia="Arial Unicode MS" w:hAnsi="Verdana" w:cs="Arial Unicode MS"/>
          <w:sz w:val="20"/>
          <w:szCs w:val="20"/>
          <w:lang w:val="es-ES_tradnl"/>
        </w:rPr>
        <w:lastRenderedPageBreak/>
        <w:t xml:space="preserve">25. </w:t>
      </w:r>
      <w:r w:rsidRPr="005A4DF1">
        <w:rPr>
          <w:rFonts w:ascii="Verdana" w:eastAsia="Arial Unicode MS" w:hAnsi="Verdana" w:cs="Arial Unicode MS"/>
          <w:sz w:val="20"/>
          <w:szCs w:val="20"/>
          <w:lang w:val="es-ES_tradnl"/>
        </w:rPr>
        <w:tab/>
      </w:r>
      <w:r w:rsidR="00A32BE0" w:rsidRPr="005A4DF1">
        <w:rPr>
          <w:rFonts w:ascii="Verdana" w:eastAsia="Arial Unicode MS" w:hAnsi="Verdana" w:cs="Arial Unicode MS"/>
          <w:sz w:val="20"/>
          <w:szCs w:val="20"/>
          <w:lang w:val="es-ES_tradnl"/>
        </w:rPr>
        <w:t xml:space="preserve">Por lo tanto, no debe acotarse el entendimiento de los derechos recogidos en el artículo 26 de la Convención </w:t>
      </w:r>
      <w:r w:rsidR="008D2EB8" w:rsidRPr="005A4DF1">
        <w:rPr>
          <w:rFonts w:ascii="Verdana" w:eastAsia="Arial Unicode MS" w:hAnsi="Verdana" w:cs="Arial Unicode MS"/>
          <w:sz w:val="20"/>
          <w:szCs w:val="20"/>
          <w:lang w:val="es-ES_tradnl"/>
        </w:rPr>
        <w:t xml:space="preserve">Americana </w:t>
      </w:r>
      <w:r w:rsidR="00A32BE0" w:rsidRPr="005A4DF1">
        <w:rPr>
          <w:rFonts w:ascii="Verdana" w:eastAsia="Arial Unicode MS" w:hAnsi="Verdana" w:cs="Arial Unicode MS"/>
          <w:sz w:val="20"/>
          <w:szCs w:val="20"/>
          <w:lang w:val="es-ES_tradnl"/>
        </w:rPr>
        <w:t>solo a aquellos que puedan encon</w:t>
      </w:r>
      <w:r w:rsidR="00663D07">
        <w:rPr>
          <w:rFonts w:ascii="Verdana" w:eastAsia="Arial Unicode MS" w:hAnsi="Verdana" w:cs="Arial Unicode MS"/>
          <w:sz w:val="20"/>
          <w:szCs w:val="20"/>
          <w:lang w:val="es-ES_tradnl"/>
        </w:rPr>
        <w:t>trarse literalmente como tales —</w:t>
      </w:r>
      <w:r w:rsidR="00A32BE0" w:rsidRPr="005A4DF1">
        <w:rPr>
          <w:rFonts w:ascii="Verdana" w:eastAsia="Arial Unicode MS" w:hAnsi="Verdana" w:cs="Arial Unicode MS"/>
          <w:sz w:val="20"/>
          <w:szCs w:val="20"/>
          <w:lang w:val="es-ES_tradnl"/>
        </w:rPr>
        <w:t>como podría entenderse el “derecho al trabajo”</w:t>
      </w:r>
      <w:r w:rsidR="00A32BE0" w:rsidRPr="005A4DF1">
        <w:rPr>
          <w:rStyle w:val="FootnoteReference"/>
          <w:rFonts w:ascii="Verdana" w:eastAsia="Arial Unicode MS" w:hAnsi="Verdana"/>
          <w:sz w:val="20"/>
          <w:szCs w:val="20"/>
          <w:lang w:val="es-ES_tradnl"/>
        </w:rPr>
        <w:footnoteReference w:id="22"/>
      </w:r>
      <w:r w:rsidR="00663D07">
        <w:rPr>
          <w:rFonts w:ascii="Verdana" w:eastAsia="Arial Unicode MS" w:hAnsi="Verdana" w:cs="Arial Unicode MS"/>
          <w:sz w:val="20"/>
          <w:szCs w:val="20"/>
          <w:lang w:val="es-ES_tradnl"/>
        </w:rPr>
        <w:t>—</w:t>
      </w:r>
      <w:r w:rsidR="00A32BE0" w:rsidRPr="005A4DF1">
        <w:rPr>
          <w:rFonts w:ascii="Verdana" w:eastAsia="Arial Unicode MS" w:hAnsi="Verdana" w:cs="Arial Unicode MS"/>
          <w:sz w:val="20"/>
          <w:szCs w:val="20"/>
          <w:lang w:val="es-ES_tradnl"/>
        </w:rPr>
        <w:t xml:space="preserve"> en el texto de la Carta de la OEA. Por el contrario, debe efectuarse una “derivación” de las normas correspondientes referidas: “proceder” a partir de “cierta base léxica” para encontrar un derecho. El texto del artículo 26, que habla de “derechos” que se “derivan” de las normas “económicas, sociales y sobre educación, ciencia y cultura, contenidas en la Carta” obliga al interprete, quien no puede desconocer el texto señalado y sostener de modo válido que las normas correspondientes de la Carta </w:t>
      </w:r>
      <w:r w:rsidR="00663D07">
        <w:rPr>
          <w:rFonts w:ascii="Verdana" w:eastAsia="Arial Unicode MS" w:hAnsi="Verdana" w:cs="Arial Unicode MS"/>
          <w:sz w:val="20"/>
          <w:szCs w:val="20"/>
          <w:lang w:val="es-ES_tradnl"/>
        </w:rPr>
        <w:t xml:space="preserve">de la OEA </w:t>
      </w:r>
      <w:r w:rsidR="00A32BE0" w:rsidRPr="005A4DF1">
        <w:rPr>
          <w:rFonts w:ascii="Verdana" w:eastAsia="Arial Unicode MS" w:hAnsi="Verdana" w:cs="Arial Unicode MS"/>
          <w:sz w:val="20"/>
          <w:szCs w:val="20"/>
          <w:lang w:val="es-ES_tradnl"/>
        </w:rPr>
        <w:t>no ofrecen una base suficiente para “derivar” derechos, pues ello está mandado por el texto convencional. Ello no obsta a la procedencia de métodos de interpretación que lleven a tener en consideración otras normas; inclusive el Protocolo Adicional a la Convención Americana sobre Derechos Humanos en materia de Derechos Económicos, Sociales y Culturales “Protocolo de San Salvador”</w:t>
      </w:r>
      <w:r w:rsidR="00A32BE0" w:rsidRPr="005A4DF1">
        <w:rPr>
          <w:rStyle w:val="FootnoteReference"/>
          <w:rFonts w:ascii="Verdana" w:eastAsia="Arial Unicode MS" w:hAnsi="Verdana"/>
          <w:sz w:val="20"/>
          <w:szCs w:val="20"/>
          <w:lang w:val="es-ES_tradnl"/>
        </w:rPr>
        <w:footnoteReference w:id="23"/>
      </w:r>
      <w:r w:rsidR="008D2EB8" w:rsidRPr="005A4DF1">
        <w:rPr>
          <w:rFonts w:ascii="Verdana" w:eastAsia="Arial Unicode MS" w:hAnsi="Verdana" w:cs="Arial Unicode MS"/>
          <w:sz w:val="20"/>
          <w:szCs w:val="20"/>
          <w:lang w:val="es-ES_tradnl"/>
        </w:rPr>
        <w:t>;</w:t>
      </w:r>
      <w:r w:rsidR="00A32BE0" w:rsidRPr="005A4DF1">
        <w:rPr>
          <w:rFonts w:ascii="Verdana" w:eastAsia="Arial Unicode MS" w:hAnsi="Verdana" w:cs="Arial Unicode MS"/>
          <w:sz w:val="20"/>
          <w:szCs w:val="20"/>
          <w:lang w:val="es-ES_tradnl"/>
        </w:rPr>
        <w:t xml:space="preserve"> </w:t>
      </w:r>
      <w:r w:rsidR="008D2EB8" w:rsidRPr="005A4DF1">
        <w:rPr>
          <w:rFonts w:ascii="Verdana" w:eastAsia="Arial Unicode MS" w:hAnsi="Verdana" w:cs="Arial Unicode MS"/>
          <w:sz w:val="20"/>
          <w:szCs w:val="20"/>
          <w:lang w:val="es-ES_tradnl"/>
        </w:rPr>
        <w:t>sobre el particular ya me he referido en otras ocasiones</w:t>
      </w:r>
      <w:r w:rsidR="008D2EB8" w:rsidRPr="005A4DF1">
        <w:rPr>
          <w:rStyle w:val="FootnoteReference"/>
          <w:rFonts w:ascii="Verdana" w:eastAsia="Arial Unicode MS" w:hAnsi="Verdana" w:cs="Arial Unicode MS"/>
          <w:sz w:val="20"/>
          <w:szCs w:val="20"/>
          <w:lang w:val="es-ES_tradnl"/>
        </w:rPr>
        <w:footnoteReference w:id="24"/>
      </w:r>
      <w:r w:rsidR="008D2EB8" w:rsidRPr="005A4DF1">
        <w:rPr>
          <w:rFonts w:ascii="Verdana" w:eastAsia="Arial Unicode MS" w:hAnsi="Verdana" w:cs="Arial Unicode MS"/>
          <w:sz w:val="20"/>
          <w:szCs w:val="20"/>
          <w:lang w:val="es-ES_tradnl"/>
        </w:rPr>
        <w:t>.</w:t>
      </w:r>
    </w:p>
    <w:p w14:paraId="11C0C9CF" w14:textId="77777777" w:rsidR="00A32BE0" w:rsidRPr="005A4DF1" w:rsidRDefault="00A32BE0" w:rsidP="00454C7F">
      <w:pPr>
        <w:pStyle w:val="Estilo4"/>
        <w:numPr>
          <w:ilvl w:val="0"/>
          <w:numId w:val="0"/>
        </w:numPr>
        <w:spacing w:after="0"/>
        <w:jc w:val="both"/>
        <w:rPr>
          <w:rFonts w:ascii="Verdana" w:hAnsi="Verdana"/>
          <w:sz w:val="20"/>
          <w:szCs w:val="20"/>
          <w:lang w:val="es-ES_tradnl"/>
        </w:rPr>
      </w:pPr>
    </w:p>
    <w:p w14:paraId="60C048B6" w14:textId="3110C682" w:rsidR="008D2EB8" w:rsidRPr="005A4DF1" w:rsidRDefault="00E05E9E" w:rsidP="00454C7F">
      <w:pPr>
        <w:pStyle w:val="Estilo4"/>
        <w:numPr>
          <w:ilvl w:val="0"/>
          <w:numId w:val="0"/>
        </w:numPr>
        <w:spacing w:after="0"/>
        <w:jc w:val="both"/>
        <w:rPr>
          <w:rFonts w:ascii="Verdana" w:eastAsia="Arial Unicode MS" w:hAnsi="Verdana" w:cs="Arial Unicode MS"/>
          <w:sz w:val="20"/>
          <w:szCs w:val="20"/>
          <w:lang w:val="es-ES_tradnl"/>
        </w:rPr>
      </w:pPr>
      <w:r w:rsidRPr="005A4DF1">
        <w:rPr>
          <w:rFonts w:ascii="Verdana" w:eastAsia="Arial Unicode MS" w:hAnsi="Verdana" w:cs="Arial Unicode MS"/>
          <w:sz w:val="20"/>
          <w:szCs w:val="20"/>
          <w:lang w:val="es-ES_tradnl"/>
        </w:rPr>
        <w:t xml:space="preserve">26. </w:t>
      </w:r>
      <w:r w:rsidRPr="005A4DF1">
        <w:rPr>
          <w:rFonts w:ascii="Verdana" w:eastAsia="Arial Unicode MS" w:hAnsi="Verdana" w:cs="Arial Unicode MS"/>
          <w:sz w:val="20"/>
          <w:szCs w:val="20"/>
          <w:lang w:val="es-ES_tradnl"/>
        </w:rPr>
        <w:tab/>
      </w:r>
      <w:r w:rsidR="00663D07">
        <w:rPr>
          <w:rFonts w:ascii="Verdana" w:eastAsia="Arial Unicode MS" w:hAnsi="Verdana" w:cs="Arial Unicode MS"/>
          <w:sz w:val="20"/>
          <w:szCs w:val="20"/>
          <w:lang w:val="es-ES_tradnl"/>
        </w:rPr>
        <w:t>L</w:t>
      </w:r>
      <w:r w:rsidR="008D2EB8" w:rsidRPr="005A4DF1">
        <w:rPr>
          <w:rFonts w:ascii="Verdana" w:eastAsia="Arial Unicode MS" w:hAnsi="Verdana" w:cs="Arial Unicode MS"/>
          <w:sz w:val="20"/>
          <w:szCs w:val="20"/>
          <w:lang w:val="es-ES_tradnl"/>
        </w:rPr>
        <w:t xml:space="preserve">o expuesto </w:t>
      </w:r>
      <w:r w:rsidR="00343D08">
        <w:rPr>
          <w:rFonts w:ascii="Verdana" w:eastAsia="Arial Unicode MS" w:hAnsi="Verdana" w:cs="Arial Unicode MS"/>
          <w:sz w:val="20"/>
          <w:szCs w:val="20"/>
          <w:lang w:val="es-ES_tradnl"/>
        </w:rPr>
        <w:t>hace evidente</w:t>
      </w:r>
      <w:r w:rsidR="008D2EB8" w:rsidRPr="005A4DF1">
        <w:rPr>
          <w:rFonts w:ascii="Verdana" w:eastAsia="Arial Unicode MS" w:hAnsi="Verdana" w:cs="Arial Unicode MS"/>
          <w:sz w:val="20"/>
          <w:szCs w:val="20"/>
          <w:lang w:val="es-ES_tradnl"/>
        </w:rPr>
        <w:t xml:space="preserve"> que se requiere un ejercicio interpretativo evolutivo y dinámico por parte del Tribunal Interamericano y que </w:t>
      </w:r>
      <w:r w:rsidR="00343D08">
        <w:rPr>
          <w:rFonts w:ascii="Verdana" w:eastAsia="Arial Unicode MS" w:hAnsi="Verdana" w:cs="Arial Unicode MS"/>
          <w:sz w:val="20"/>
          <w:szCs w:val="20"/>
          <w:lang w:val="es-ES_tradnl"/>
        </w:rPr>
        <w:t xml:space="preserve">si bien, </w:t>
      </w:r>
      <w:r w:rsidR="008D2EB8" w:rsidRPr="005A4DF1">
        <w:rPr>
          <w:rFonts w:ascii="Verdana" w:eastAsia="Arial Unicode MS" w:hAnsi="Verdana" w:cs="Arial Unicode MS"/>
          <w:sz w:val="20"/>
          <w:szCs w:val="20"/>
          <w:lang w:val="es-ES_tradnl"/>
        </w:rPr>
        <w:t>ciertamente</w:t>
      </w:r>
      <w:r w:rsidR="00343D08">
        <w:rPr>
          <w:rFonts w:ascii="Verdana" w:eastAsia="Arial Unicode MS" w:hAnsi="Verdana" w:cs="Arial Unicode MS"/>
          <w:sz w:val="20"/>
          <w:szCs w:val="20"/>
          <w:lang w:val="es-ES_tradnl"/>
        </w:rPr>
        <w:t>,</w:t>
      </w:r>
      <w:r w:rsidR="008D2EB8" w:rsidRPr="005A4DF1">
        <w:rPr>
          <w:rFonts w:ascii="Verdana" w:eastAsia="Arial Unicode MS" w:hAnsi="Verdana" w:cs="Arial Unicode MS"/>
          <w:sz w:val="20"/>
          <w:szCs w:val="20"/>
          <w:lang w:val="es-ES_tradnl"/>
        </w:rPr>
        <w:t xml:space="preserve"> existen dificultades interpretativas por el modo en que la Convención Americana ha establecido los derechos económicos, sociales</w:t>
      </w:r>
      <w:r w:rsidR="00343D08">
        <w:rPr>
          <w:rFonts w:ascii="Verdana" w:eastAsia="Arial Unicode MS" w:hAnsi="Verdana" w:cs="Arial Unicode MS"/>
          <w:sz w:val="20"/>
          <w:szCs w:val="20"/>
          <w:lang w:val="es-ES_tradnl"/>
        </w:rPr>
        <w:t xml:space="preserve"> y culturales plasmados en ella, no constituye una</w:t>
      </w:r>
      <w:r w:rsidR="008D2EB8" w:rsidRPr="005A4DF1">
        <w:rPr>
          <w:rFonts w:ascii="Verdana" w:eastAsia="Arial Unicode MS" w:hAnsi="Verdana" w:cs="Arial Unicode MS"/>
          <w:sz w:val="20"/>
          <w:szCs w:val="20"/>
          <w:lang w:val="es-ES_tradnl"/>
        </w:rPr>
        <w:t xml:space="preserve"> dificultad </w:t>
      </w:r>
      <w:r w:rsidR="00343D08">
        <w:rPr>
          <w:rFonts w:ascii="Verdana" w:eastAsia="Arial Unicode MS" w:hAnsi="Verdana" w:cs="Arial Unicode MS"/>
          <w:sz w:val="20"/>
          <w:szCs w:val="20"/>
          <w:lang w:val="es-ES_tradnl"/>
        </w:rPr>
        <w:t>para que la labor hermenéutica e interpretativa sea realizada.</w:t>
      </w:r>
      <w:r w:rsidR="008D2EB8" w:rsidRPr="005A4DF1">
        <w:rPr>
          <w:rFonts w:ascii="Verdana" w:eastAsia="Arial Unicode MS" w:hAnsi="Verdana" w:cs="Arial Unicode MS"/>
          <w:sz w:val="20"/>
          <w:szCs w:val="20"/>
          <w:lang w:val="es-ES_tradnl"/>
        </w:rPr>
        <w:t xml:space="preserve"> Precisamente, es la función propia de la Corte IDH llevar a cabo la interpretación de la Convención Americana, sin que pueda excusarse en la obscuridad, vaguedad o ambigüedad de los términ</w:t>
      </w:r>
      <w:r w:rsidR="00663D07">
        <w:rPr>
          <w:rFonts w:ascii="Verdana" w:eastAsia="Arial Unicode MS" w:hAnsi="Verdana" w:cs="Arial Unicode MS"/>
          <w:sz w:val="20"/>
          <w:szCs w:val="20"/>
          <w:lang w:val="es-ES_tradnl"/>
        </w:rPr>
        <w:t xml:space="preserve">os del tratado y teniendo en consideración el principio </w:t>
      </w:r>
      <w:r w:rsidR="00663D07" w:rsidRPr="00663D07">
        <w:rPr>
          <w:rFonts w:ascii="Verdana" w:eastAsia="Arial Unicode MS" w:hAnsi="Verdana" w:cs="Arial Unicode MS"/>
          <w:i/>
          <w:sz w:val="20"/>
          <w:szCs w:val="20"/>
          <w:lang w:val="es-ES_tradnl"/>
        </w:rPr>
        <w:t>pro persona</w:t>
      </w:r>
      <w:r w:rsidR="00663D07">
        <w:rPr>
          <w:rFonts w:ascii="Verdana" w:eastAsia="Arial Unicode MS" w:hAnsi="Verdana" w:cs="Arial Unicode MS"/>
          <w:sz w:val="20"/>
          <w:szCs w:val="20"/>
          <w:lang w:val="es-ES_tradnl"/>
        </w:rPr>
        <w:t xml:space="preserve"> contenido en el artículo 29 del propio Pacto de San José.</w:t>
      </w:r>
      <w:r w:rsidR="008D2EB8" w:rsidRPr="005A4DF1">
        <w:rPr>
          <w:rFonts w:ascii="Verdana" w:eastAsia="Arial Unicode MS" w:hAnsi="Verdana" w:cs="Arial Unicode MS"/>
          <w:sz w:val="20"/>
          <w:szCs w:val="20"/>
          <w:lang w:val="es-ES_tradnl"/>
        </w:rPr>
        <w:t xml:space="preserve"> </w:t>
      </w:r>
    </w:p>
    <w:p w14:paraId="4BB255F8" w14:textId="77777777" w:rsidR="008D2EB8" w:rsidRPr="005A4DF1" w:rsidRDefault="008D2EB8" w:rsidP="00454C7F">
      <w:pPr>
        <w:pStyle w:val="ListParagraph"/>
        <w:ind w:left="0"/>
        <w:contextualSpacing w:val="0"/>
        <w:jc w:val="both"/>
        <w:rPr>
          <w:rFonts w:ascii="Verdana" w:hAnsi="Verdana"/>
          <w:sz w:val="20"/>
          <w:szCs w:val="20"/>
        </w:rPr>
      </w:pPr>
    </w:p>
    <w:p w14:paraId="1398F27F" w14:textId="6380E376" w:rsidR="008D2EB8" w:rsidRPr="005A4DF1" w:rsidRDefault="00E05E9E" w:rsidP="00454C7F">
      <w:pPr>
        <w:pStyle w:val="ListParagraph"/>
        <w:ind w:left="0"/>
        <w:contextualSpacing w:val="0"/>
        <w:jc w:val="both"/>
        <w:rPr>
          <w:rFonts w:ascii="Verdana" w:hAnsi="Verdana"/>
          <w:sz w:val="20"/>
          <w:szCs w:val="20"/>
        </w:rPr>
      </w:pPr>
      <w:r w:rsidRPr="005A4DF1">
        <w:rPr>
          <w:rFonts w:ascii="Verdana" w:hAnsi="Verdana"/>
          <w:sz w:val="20"/>
          <w:szCs w:val="20"/>
        </w:rPr>
        <w:t xml:space="preserve">27. </w:t>
      </w:r>
      <w:r w:rsidRPr="005A4DF1">
        <w:rPr>
          <w:rFonts w:ascii="Verdana" w:hAnsi="Verdana"/>
          <w:sz w:val="20"/>
          <w:szCs w:val="20"/>
        </w:rPr>
        <w:tab/>
      </w:r>
      <w:r w:rsidR="00343D08">
        <w:rPr>
          <w:rFonts w:ascii="Verdana" w:hAnsi="Verdana"/>
          <w:sz w:val="20"/>
          <w:szCs w:val="20"/>
        </w:rPr>
        <w:t>En tercer lugar,</w:t>
      </w:r>
      <w:r w:rsidR="008D2EB8" w:rsidRPr="005A4DF1">
        <w:rPr>
          <w:rFonts w:ascii="Verdana" w:hAnsi="Verdana"/>
          <w:sz w:val="20"/>
          <w:szCs w:val="20"/>
        </w:rPr>
        <w:t xml:space="preserve"> otra objeción que puede presentarse, en general, respecto a la posibilidad de que la Corte IDH examine vulneraciones a derechos sociales a través del análisis del artículo 26 se vincula con el Protocolo de San Salvador. Sobre el particular, remito a lo dicho sobre la “aparente tensión</w:t>
      </w:r>
      <w:r w:rsidR="008D2EB8" w:rsidRPr="005A4DF1">
        <w:rPr>
          <w:rFonts w:ascii="Verdana" w:hAnsi="Verdana"/>
          <w:color w:val="000000"/>
          <w:sz w:val="20"/>
          <w:szCs w:val="20"/>
        </w:rPr>
        <w:t xml:space="preserve"> entre el Pacto de San José y el Protocolo de San Salvador</w:t>
      </w:r>
      <w:r w:rsidR="008D2EB8" w:rsidRPr="005A4DF1">
        <w:rPr>
          <w:rFonts w:ascii="Verdana" w:hAnsi="Verdana"/>
          <w:sz w:val="20"/>
          <w:szCs w:val="20"/>
        </w:rPr>
        <w:t xml:space="preserve">”, en los párrafos 36 a 56 de mi voto razonado sobre el caso </w:t>
      </w:r>
      <w:r w:rsidR="008D2EB8" w:rsidRPr="005A4DF1">
        <w:rPr>
          <w:rFonts w:ascii="Verdana" w:hAnsi="Verdana"/>
          <w:i/>
          <w:sz w:val="20"/>
          <w:szCs w:val="20"/>
        </w:rPr>
        <w:t>Suárez Peralta Vs. Ecuador</w:t>
      </w:r>
      <w:r w:rsidR="008D2EB8" w:rsidRPr="005A4DF1">
        <w:rPr>
          <w:rStyle w:val="FootnoteReference"/>
          <w:rFonts w:ascii="Verdana" w:hAnsi="Verdana"/>
          <w:i/>
          <w:sz w:val="20"/>
          <w:szCs w:val="20"/>
        </w:rPr>
        <w:footnoteReference w:id="25"/>
      </w:r>
      <w:r w:rsidR="008D2EB8" w:rsidRPr="005A4DF1">
        <w:rPr>
          <w:rFonts w:ascii="Verdana" w:hAnsi="Verdana"/>
          <w:sz w:val="20"/>
          <w:szCs w:val="20"/>
        </w:rPr>
        <w:t xml:space="preserve">, en los que justifiqué por qué, a mi entender, el Protocolo de San Salvador no es un obstáculo para que </w:t>
      </w:r>
      <w:r w:rsidR="0068364A" w:rsidRPr="005A4DF1">
        <w:rPr>
          <w:rFonts w:ascii="Verdana" w:hAnsi="Verdana"/>
          <w:sz w:val="20"/>
          <w:szCs w:val="20"/>
        </w:rPr>
        <w:t>el Tribunal Interamericano</w:t>
      </w:r>
      <w:r w:rsidR="008D2EB8" w:rsidRPr="005A4DF1">
        <w:rPr>
          <w:rFonts w:ascii="Verdana" w:hAnsi="Verdana"/>
          <w:sz w:val="20"/>
          <w:szCs w:val="20"/>
        </w:rPr>
        <w:t xml:space="preserve"> se pronuncie sobre presuntas violaciones a derechos contemplado</w:t>
      </w:r>
      <w:r w:rsidR="0068364A" w:rsidRPr="005A4DF1">
        <w:rPr>
          <w:rFonts w:ascii="Verdana" w:hAnsi="Verdana"/>
          <w:sz w:val="20"/>
          <w:szCs w:val="20"/>
        </w:rPr>
        <w:t>s en el artículo 26</w:t>
      </w:r>
      <w:r w:rsidR="00AD13EB" w:rsidRPr="005A4DF1">
        <w:rPr>
          <w:rFonts w:ascii="Verdana" w:hAnsi="Verdana"/>
          <w:sz w:val="20"/>
          <w:szCs w:val="20"/>
        </w:rPr>
        <w:t xml:space="preserve"> de la Convención Americana</w:t>
      </w:r>
      <w:r w:rsidR="008D2EB8" w:rsidRPr="005A4DF1">
        <w:rPr>
          <w:rFonts w:ascii="Verdana" w:hAnsi="Verdana"/>
          <w:sz w:val="20"/>
          <w:szCs w:val="20"/>
        </w:rPr>
        <w:t xml:space="preserve">. </w:t>
      </w:r>
    </w:p>
    <w:p w14:paraId="61A0DCD4" w14:textId="77777777" w:rsidR="00E05E9E" w:rsidRPr="005A4DF1" w:rsidRDefault="00E05E9E" w:rsidP="00454C7F">
      <w:pPr>
        <w:pStyle w:val="ListParagraph"/>
        <w:ind w:left="0"/>
        <w:contextualSpacing w:val="0"/>
        <w:jc w:val="both"/>
        <w:rPr>
          <w:rFonts w:ascii="Verdana" w:hAnsi="Verdana"/>
          <w:sz w:val="20"/>
          <w:szCs w:val="20"/>
        </w:rPr>
      </w:pPr>
    </w:p>
    <w:p w14:paraId="0AFE9DBD" w14:textId="2302B30B" w:rsidR="008D2EB8" w:rsidRPr="005A4DF1" w:rsidRDefault="00E05E9E" w:rsidP="00454C7F">
      <w:pPr>
        <w:pStyle w:val="ListParagraph"/>
        <w:ind w:left="0"/>
        <w:contextualSpacing w:val="0"/>
        <w:jc w:val="both"/>
        <w:rPr>
          <w:rFonts w:ascii="Verdana" w:hAnsi="Verdana"/>
          <w:sz w:val="20"/>
          <w:szCs w:val="20"/>
        </w:rPr>
      </w:pPr>
      <w:r w:rsidRPr="005A4DF1">
        <w:rPr>
          <w:rFonts w:ascii="Verdana" w:hAnsi="Verdana"/>
          <w:sz w:val="20"/>
          <w:szCs w:val="20"/>
        </w:rPr>
        <w:t xml:space="preserve">28. </w:t>
      </w:r>
      <w:r w:rsidRPr="005A4DF1">
        <w:rPr>
          <w:rFonts w:ascii="Verdana" w:hAnsi="Verdana"/>
          <w:sz w:val="20"/>
          <w:szCs w:val="20"/>
        </w:rPr>
        <w:tab/>
      </w:r>
      <w:r w:rsidR="008D2EB8" w:rsidRPr="005A4DF1">
        <w:rPr>
          <w:rFonts w:ascii="Verdana" w:hAnsi="Verdana"/>
          <w:sz w:val="20"/>
          <w:szCs w:val="20"/>
        </w:rPr>
        <w:t xml:space="preserve">A ello agrego que, en todo caso, la cuestión no obstaría a la </w:t>
      </w:r>
      <w:proofErr w:type="spellStart"/>
      <w:r w:rsidR="008D2EB8" w:rsidRPr="005A4DF1">
        <w:rPr>
          <w:rFonts w:ascii="Verdana" w:hAnsi="Verdana"/>
          <w:sz w:val="20"/>
          <w:szCs w:val="20"/>
        </w:rPr>
        <w:t>justiciabilidad</w:t>
      </w:r>
      <w:proofErr w:type="spellEnd"/>
      <w:r w:rsidR="008D2EB8" w:rsidRPr="005A4DF1">
        <w:rPr>
          <w:rFonts w:ascii="Verdana" w:hAnsi="Verdana"/>
          <w:sz w:val="20"/>
          <w:szCs w:val="20"/>
        </w:rPr>
        <w:t xml:space="preserve"> del </w:t>
      </w:r>
      <w:r w:rsidR="008D2EB8" w:rsidRPr="005A4DF1">
        <w:rPr>
          <w:rFonts w:ascii="Verdana" w:hAnsi="Verdana"/>
          <w:i/>
          <w:sz w:val="20"/>
          <w:szCs w:val="20"/>
        </w:rPr>
        <w:t>derecho a la vivienda</w:t>
      </w:r>
      <w:r w:rsidR="008D2EB8" w:rsidRPr="005A4DF1">
        <w:rPr>
          <w:rFonts w:ascii="Verdana" w:hAnsi="Verdana"/>
          <w:sz w:val="20"/>
          <w:szCs w:val="20"/>
        </w:rPr>
        <w:t xml:space="preserve"> a partir del artículo 26 referido. El </w:t>
      </w:r>
      <w:r w:rsidR="008D2EB8" w:rsidRPr="005A4DF1">
        <w:rPr>
          <w:rFonts w:ascii="Verdana" w:hAnsi="Verdana"/>
          <w:i/>
          <w:sz w:val="20"/>
          <w:szCs w:val="20"/>
        </w:rPr>
        <w:t>derecho a la vivienda</w:t>
      </w:r>
      <w:r w:rsidR="008D2EB8" w:rsidRPr="005A4DF1">
        <w:rPr>
          <w:rFonts w:ascii="Verdana" w:hAnsi="Verdana"/>
          <w:sz w:val="20"/>
          <w:szCs w:val="20"/>
        </w:rPr>
        <w:t xml:space="preserve"> no se encuentra en el Protocolo de San Salvador. Por ello, en nada afectaría entender que los derechos que detalló el Protocolo de San Salvador no se encuentran en la Convención </w:t>
      </w:r>
      <w:r w:rsidR="00663D07">
        <w:rPr>
          <w:rFonts w:ascii="Verdana" w:hAnsi="Verdana"/>
          <w:sz w:val="20"/>
          <w:szCs w:val="20"/>
        </w:rPr>
        <w:t xml:space="preserve">Americana </w:t>
      </w:r>
      <w:r w:rsidR="008D2EB8" w:rsidRPr="005A4DF1">
        <w:rPr>
          <w:rFonts w:ascii="Verdana" w:hAnsi="Verdana"/>
          <w:sz w:val="20"/>
          <w:szCs w:val="20"/>
        </w:rPr>
        <w:t xml:space="preserve">y que, además, sólo son justiciables los derechos </w:t>
      </w:r>
      <w:r w:rsidR="00F65DC9">
        <w:rPr>
          <w:rFonts w:ascii="Verdana" w:hAnsi="Verdana"/>
          <w:sz w:val="20"/>
          <w:szCs w:val="20"/>
        </w:rPr>
        <w:t xml:space="preserve">de asociación </w:t>
      </w:r>
      <w:r w:rsidR="00E34D24">
        <w:rPr>
          <w:rFonts w:ascii="Verdana" w:hAnsi="Verdana"/>
          <w:sz w:val="20"/>
          <w:szCs w:val="20"/>
        </w:rPr>
        <w:t>sindical</w:t>
      </w:r>
      <w:r w:rsidR="008D2EB8" w:rsidRPr="005A4DF1">
        <w:rPr>
          <w:rFonts w:ascii="Verdana" w:hAnsi="Verdana"/>
          <w:sz w:val="20"/>
          <w:szCs w:val="20"/>
        </w:rPr>
        <w:t xml:space="preserve"> </w:t>
      </w:r>
      <w:r w:rsidR="00F65DC9">
        <w:rPr>
          <w:rFonts w:ascii="Verdana" w:hAnsi="Verdana"/>
          <w:sz w:val="20"/>
          <w:szCs w:val="20"/>
        </w:rPr>
        <w:lastRenderedPageBreak/>
        <w:t xml:space="preserve">(art. 8.1.a) </w:t>
      </w:r>
      <w:r w:rsidR="008D2EB8" w:rsidRPr="005A4DF1">
        <w:rPr>
          <w:rFonts w:ascii="Verdana" w:hAnsi="Verdana"/>
          <w:sz w:val="20"/>
          <w:szCs w:val="20"/>
        </w:rPr>
        <w:t>y el derecho a la educación</w:t>
      </w:r>
      <w:r w:rsidR="00F65DC9">
        <w:rPr>
          <w:rFonts w:ascii="Verdana" w:hAnsi="Verdana"/>
          <w:sz w:val="20"/>
          <w:szCs w:val="20"/>
        </w:rPr>
        <w:t xml:space="preserve"> (art. 13)</w:t>
      </w:r>
      <w:r w:rsidR="008D2EB8" w:rsidRPr="005A4DF1">
        <w:rPr>
          <w:rFonts w:ascii="Verdana" w:hAnsi="Verdana"/>
          <w:sz w:val="20"/>
          <w:szCs w:val="20"/>
        </w:rPr>
        <w:t>, por mandato de su artículo 19.6</w:t>
      </w:r>
      <w:r w:rsidR="008D2EB8" w:rsidRPr="005A4DF1">
        <w:rPr>
          <w:rStyle w:val="FootnoteReference"/>
          <w:rFonts w:ascii="Verdana" w:hAnsi="Verdana"/>
          <w:sz w:val="20"/>
          <w:szCs w:val="20"/>
        </w:rPr>
        <w:footnoteReference w:id="26"/>
      </w:r>
      <w:r w:rsidR="008D2EB8" w:rsidRPr="005A4DF1">
        <w:rPr>
          <w:rFonts w:ascii="Verdana" w:hAnsi="Verdana"/>
          <w:sz w:val="20"/>
          <w:szCs w:val="20"/>
        </w:rPr>
        <w:t>. En efecto, lo anterior no tendría incidencia p</w:t>
      </w:r>
      <w:r w:rsidR="00F65DC9">
        <w:rPr>
          <w:rFonts w:ascii="Verdana" w:hAnsi="Verdana"/>
          <w:sz w:val="20"/>
          <w:szCs w:val="20"/>
        </w:rPr>
        <w:t>ues, aú</w:t>
      </w:r>
      <w:r w:rsidR="00663D07">
        <w:rPr>
          <w:rFonts w:ascii="Verdana" w:hAnsi="Verdana"/>
          <w:sz w:val="20"/>
          <w:szCs w:val="20"/>
        </w:rPr>
        <w:t>n en ese entendimiento —</w:t>
      </w:r>
      <w:r w:rsidR="008D2EB8" w:rsidRPr="005A4DF1">
        <w:rPr>
          <w:rFonts w:ascii="Verdana" w:hAnsi="Verdana"/>
          <w:sz w:val="20"/>
          <w:szCs w:val="20"/>
        </w:rPr>
        <w:t>que no comparto</w:t>
      </w:r>
      <w:r w:rsidR="00663D07">
        <w:rPr>
          <w:rFonts w:ascii="Verdana" w:hAnsi="Verdana"/>
          <w:sz w:val="20"/>
          <w:szCs w:val="20"/>
        </w:rPr>
        <w:t>—,</w:t>
      </w:r>
      <w:r w:rsidR="008D2EB8" w:rsidRPr="005A4DF1">
        <w:rPr>
          <w:rFonts w:ascii="Verdana" w:hAnsi="Verdana"/>
          <w:sz w:val="20"/>
          <w:szCs w:val="20"/>
        </w:rPr>
        <w:t xml:space="preserve"> el Protocolo de San Salvador no sería una base que permita concluir que el derecho a la vivienda no se encuentra en la Convención</w:t>
      </w:r>
      <w:r w:rsidR="00663D07">
        <w:rPr>
          <w:rFonts w:ascii="Verdana" w:hAnsi="Verdana"/>
          <w:sz w:val="20"/>
          <w:szCs w:val="20"/>
        </w:rPr>
        <w:t xml:space="preserve"> Americana</w:t>
      </w:r>
      <w:r w:rsidR="008D2EB8" w:rsidRPr="005A4DF1">
        <w:rPr>
          <w:rFonts w:ascii="Verdana" w:hAnsi="Verdana"/>
          <w:sz w:val="20"/>
          <w:szCs w:val="20"/>
        </w:rPr>
        <w:t xml:space="preserve">, o que la Corte </w:t>
      </w:r>
      <w:r w:rsidR="0068364A" w:rsidRPr="005A4DF1">
        <w:rPr>
          <w:rFonts w:ascii="Verdana" w:hAnsi="Verdana"/>
          <w:sz w:val="20"/>
          <w:szCs w:val="20"/>
        </w:rPr>
        <w:t xml:space="preserve">IDH </w:t>
      </w:r>
      <w:r w:rsidR="008D2EB8" w:rsidRPr="005A4DF1">
        <w:rPr>
          <w:rFonts w:ascii="Verdana" w:hAnsi="Verdana"/>
          <w:sz w:val="20"/>
          <w:szCs w:val="20"/>
        </w:rPr>
        <w:t xml:space="preserve">no es competente respecto del mismo. </w:t>
      </w:r>
    </w:p>
    <w:p w14:paraId="64F6211E" w14:textId="77777777" w:rsidR="008D2EB8" w:rsidRPr="005A4DF1" w:rsidRDefault="008D2EB8" w:rsidP="00454C7F">
      <w:pPr>
        <w:pStyle w:val="ListParagraph"/>
        <w:ind w:left="0"/>
        <w:contextualSpacing w:val="0"/>
        <w:jc w:val="both"/>
        <w:rPr>
          <w:rFonts w:ascii="Verdana" w:hAnsi="Verdana"/>
          <w:sz w:val="20"/>
          <w:szCs w:val="20"/>
        </w:rPr>
      </w:pPr>
    </w:p>
    <w:p w14:paraId="51616459" w14:textId="2B3B8328" w:rsidR="008D2EB8" w:rsidRPr="005A4DF1" w:rsidRDefault="00E05E9E" w:rsidP="00454C7F">
      <w:pPr>
        <w:pStyle w:val="ListParagraph"/>
        <w:ind w:left="0"/>
        <w:contextualSpacing w:val="0"/>
        <w:jc w:val="both"/>
        <w:rPr>
          <w:rFonts w:ascii="Verdana" w:hAnsi="Verdana"/>
          <w:sz w:val="20"/>
          <w:szCs w:val="20"/>
        </w:rPr>
      </w:pPr>
      <w:r w:rsidRPr="005A4DF1">
        <w:rPr>
          <w:rFonts w:ascii="Verdana" w:hAnsi="Verdana"/>
          <w:sz w:val="20"/>
          <w:szCs w:val="20"/>
        </w:rPr>
        <w:t xml:space="preserve">29. </w:t>
      </w:r>
      <w:r w:rsidRPr="005A4DF1">
        <w:rPr>
          <w:rFonts w:ascii="Verdana" w:hAnsi="Verdana"/>
          <w:sz w:val="20"/>
          <w:szCs w:val="20"/>
        </w:rPr>
        <w:tab/>
      </w:r>
      <w:r w:rsidR="00F65DC9">
        <w:rPr>
          <w:rFonts w:ascii="Verdana" w:hAnsi="Verdana"/>
          <w:sz w:val="20"/>
          <w:szCs w:val="20"/>
        </w:rPr>
        <w:t xml:space="preserve">De esta manera, </w:t>
      </w:r>
      <w:r w:rsidR="008D2EB8" w:rsidRPr="005A4DF1">
        <w:rPr>
          <w:rFonts w:ascii="Verdana" w:hAnsi="Verdana"/>
          <w:sz w:val="20"/>
          <w:szCs w:val="20"/>
        </w:rPr>
        <w:t>reitero que el Protocolo de Sa</w:t>
      </w:r>
      <w:r w:rsidR="00AD13EB" w:rsidRPr="005A4DF1">
        <w:rPr>
          <w:rFonts w:ascii="Verdana" w:hAnsi="Verdana"/>
          <w:sz w:val="20"/>
          <w:szCs w:val="20"/>
        </w:rPr>
        <w:t>n Salvador no puede ser un obstá</w:t>
      </w:r>
      <w:r w:rsidR="008D2EB8" w:rsidRPr="005A4DF1">
        <w:rPr>
          <w:rFonts w:ascii="Verdana" w:hAnsi="Verdana"/>
          <w:sz w:val="20"/>
          <w:szCs w:val="20"/>
        </w:rPr>
        <w:t xml:space="preserve">culo a la </w:t>
      </w:r>
      <w:proofErr w:type="spellStart"/>
      <w:r w:rsidR="008D2EB8" w:rsidRPr="005A4DF1">
        <w:rPr>
          <w:rFonts w:ascii="Verdana" w:hAnsi="Verdana"/>
          <w:sz w:val="20"/>
          <w:szCs w:val="20"/>
        </w:rPr>
        <w:t>justiciabilidad</w:t>
      </w:r>
      <w:proofErr w:type="spellEnd"/>
      <w:r w:rsidR="008D2EB8" w:rsidRPr="005A4DF1">
        <w:rPr>
          <w:rFonts w:ascii="Verdana" w:hAnsi="Verdana"/>
          <w:sz w:val="20"/>
          <w:szCs w:val="20"/>
        </w:rPr>
        <w:t xml:space="preserve"> de cualquier derecho </w:t>
      </w:r>
      <w:r w:rsidR="00F65DC9">
        <w:rPr>
          <w:rFonts w:ascii="Verdana" w:hAnsi="Verdana"/>
          <w:sz w:val="20"/>
          <w:szCs w:val="20"/>
        </w:rPr>
        <w:t xml:space="preserve">que pueda derivarse de las normas contenidas en la Carta de la OEA en los términos en que lo enuncia el </w:t>
      </w:r>
      <w:r w:rsidR="00AD13EB" w:rsidRPr="005A4DF1">
        <w:rPr>
          <w:rFonts w:ascii="Verdana" w:hAnsi="Verdana"/>
          <w:sz w:val="20"/>
          <w:szCs w:val="20"/>
        </w:rPr>
        <w:t>contenido</w:t>
      </w:r>
      <w:r w:rsidR="008D2EB8" w:rsidRPr="005A4DF1">
        <w:rPr>
          <w:rFonts w:ascii="Verdana" w:hAnsi="Verdana"/>
          <w:sz w:val="20"/>
          <w:szCs w:val="20"/>
        </w:rPr>
        <w:t xml:space="preserve"> </w:t>
      </w:r>
      <w:r w:rsidR="00F65DC9">
        <w:rPr>
          <w:rFonts w:ascii="Verdana" w:hAnsi="Verdana"/>
          <w:sz w:val="20"/>
          <w:szCs w:val="20"/>
        </w:rPr>
        <w:t>del</w:t>
      </w:r>
      <w:r w:rsidR="008D2EB8" w:rsidRPr="005A4DF1">
        <w:rPr>
          <w:rFonts w:ascii="Verdana" w:hAnsi="Verdana"/>
          <w:sz w:val="20"/>
          <w:szCs w:val="20"/>
        </w:rPr>
        <w:t xml:space="preserve"> artículo 26 del Pacto de San José. </w:t>
      </w:r>
      <w:r w:rsidR="00AD13EB" w:rsidRPr="005A4DF1">
        <w:rPr>
          <w:rFonts w:ascii="Verdana" w:hAnsi="Verdana"/>
          <w:sz w:val="20"/>
          <w:szCs w:val="20"/>
        </w:rPr>
        <w:t xml:space="preserve">En efecto, del </w:t>
      </w:r>
      <w:r w:rsidR="008D2EB8" w:rsidRPr="005A4DF1">
        <w:rPr>
          <w:rFonts w:ascii="Verdana" w:hAnsi="Verdana"/>
          <w:sz w:val="20"/>
          <w:szCs w:val="20"/>
        </w:rPr>
        <w:t xml:space="preserve">texto del Protocolo de San Salvador </w:t>
      </w:r>
      <w:r w:rsidR="0068364A" w:rsidRPr="005A4DF1">
        <w:rPr>
          <w:rFonts w:ascii="Verdana" w:hAnsi="Verdana"/>
          <w:sz w:val="20"/>
          <w:szCs w:val="20"/>
        </w:rPr>
        <w:t xml:space="preserve">no se advierte </w:t>
      </w:r>
      <w:r w:rsidR="008D2EB8" w:rsidRPr="005A4DF1">
        <w:rPr>
          <w:rFonts w:ascii="Verdana" w:hAnsi="Verdana"/>
          <w:sz w:val="20"/>
          <w:szCs w:val="20"/>
        </w:rPr>
        <w:t>que el mismo tenga por objeto modificar parte alguna de la Convención</w:t>
      </w:r>
      <w:r w:rsidR="0068364A" w:rsidRPr="005A4DF1">
        <w:rPr>
          <w:rFonts w:ascii="Verdana" w:hAnsi="Verdana"/>
          <w:sz w:val="20"/>
          <w:szCs w:val="20"/>
        </w:rPr>
        <w:t xml:space="preserve"> Americana</w:t>
      </w:r>
      <w:r w:rsidR="008D2EB8" w:rsidRPr="005A4DF1">
        <w:rPr>
          <w:rFonts w:ascii="Verdana" w:hAnsi="Verdana"/>
          <w:sz w:val="20"/>
          <w:szCs w:val="20"/>
        </w:rPr>
        <w:t xml:space="preserve">. </w:t>
      </w:r>
      <w:r w:rsidR="008D2EB8" w:rsidRPr="00872450">
        <w:rPr>
          <w:rFonts w:ascii="Verdana" w:hAnsi="Verdana"/>
          <w:sz w:val="20"/>
          <w:szCs w:val="20"/>
        </w:rPr>
        <w:t>Siendo así,</w:t>
      </w:r>
      <w:r w:rsidR="00663D07" w:rsidRPr="00872450">
        <w:rPr>
          <w:rFonts w:ascii="Verdana" w:hAnsi="Verdana"/>
          <w:sz w:val="20"/>
          <w:szCs w:val="20"/>
        </w:rPr>
        <w:t xml:space="preserve"> sería un contrasentido considerar</w:t>
      </w:r>
      <w:r w:rsidR="008D2EB8" w:rsidRPr="00872450">
        <w:rPr>
          <w:rFonts w:ascii="Verdana" w:hAnsi="Verdana"/>
          <w:sz w:val="20"/>
          <w:szCs w:val="20"/>
        </w:rPr>
        <w:t xml:space="preserve"> que si en ausencia del Protocolo de San Salvador pod</w:t>
      </w:r>
      <w:r w:rsidR="00663D07" w:rsidRPr="00872450">
        <w:rPr>
          <w:rFonts w:ascii="Verdana" w:hAnsi="Verdana"/>
          <w:sz w:val="20"/>
          <w:szCs w:val="20"/>
        </w:rPr>
        <w:t xml:space="preserve">ía interpretarse que la </w:t>
      </w:r>
      <w:r w:rsidR="008F05BB">
        <w:rPr>
          <w:rFonts w:ascii="Verdana" w:hAnsi="Verdana"/>
          <w:sz w:val="20"/>
          <w:szCs w:val="20"/>
        </w:rPr>
        <w:t>Corte IDH tenía</w:t>
      </w:r>
      <w:r w:rsidR="008D2EB8" w:rsidRPr="00872450">
        <w:rPr>
          <w:rFonts w:ascii="Verdana" w:hAnsi="Verdana"/>
          <w:sz w:val="20"/>
          <w:szCs w:val="20"/>
        </w:rPr>
        <w:t xml:space="preserve"> competencia para determinar violaciones a derechos sociales a partir del artículo 26 </w:t>
      </w:r>
      <w:r w:rsidR="00F65DC9">
        <w:rPr>
          <w:rFonts w:ascii="Verdana" w:hAnsi="Verdana"/>
          <w:sz w:val="20"/>
          <w:szCs w:val="20"/>
        </w:rPr>
        <w:t>de la Convención Ame</w:t>
      </w:r>
      <w:r w:rsidR="008F05BB">
        <w:rPr>
          <w:rFonts w:ascii="Verdana" w:hAnsi="Verdana"/>
          <w:sz w:val="20"/>
          <w:szCs w:val="20"/>
        </w:rPr>
        <w:t>ricana</w:t>
      </w:r>
      <w:r w:rsidR="008D2EB8" w:rsidRPr="00872450">
        <w:rPr>
          <w:rFonts w:ascii="Verdana" w:hAnsi="Verdana"/>
          <w:sz w:val="20"/>
          <w:szCs w:val="20"/>
        </w:rPr>
        <w:t xml:space="preserve">, ahora, </w:t>
      </w:r>
      <w:r w:rsidR="00F65DC9">
        <w:rPr>
          <w:rFonts w:ascii="Verdana" w:hAnsi="Verdana"/>
          <w:sz w:val="20"/>
          <w:szCs w:val="20"/>
        </w:rPr>
        <w:t xml:space="preserve">a partir de la adopción del Protocolo de San Salvador </w:t>
      </w:r>
      <w:r w:rsidR="008D2EB8" w:rsidRPr="00872450">
        <w:rPr>
          <w:rFonts w:ascii="Verdana" w:hAnsi="Verdana"/>
          <w:sz w:val="20"/>
          <w:szCs w:val="20"/>
        </w:rPr>
        <w:t>no la tenga.</w:t>
      </w:r>
      <w:r w:rsidR="008D2EB8" w:rsidRPr="005A4DF1">
        <w:rPr>
          <w:rFonts w:ascii="Verdana" w:hAnsi="Verdana"/>
          <w:sz w:val="20"/>
          <w:szCs w:val="20"/>
        </w:rPr>
        <w:t xml:space="preserve"> </w:t>
      </w:r>
      <w:r w:rsidR="00F65DC9">
        <w:rPr>
          <w:rFonts w:ascii="Verdana" w:hAnsi="Verdana"/>
          <w:sz w:val="20"/>
          <w:szCs w:val="20"/>
        </w:rPr>
        <w:t xml:space="preserve">Lo anterior </w:t>
      </w:r>
      <w:r w:rsidR="008D2EB8" w:rsidRPr="005A4DF1">
        <w:rPr>
          <w:rFonts w:ascii="Verdana" w:hAnsi="Verdana"/>
          <w:sz w:val="20"/>
          <w:szCs w:val="20"/>
        </w:rPr>
        <w:t>iría en contra del objeto del propio Protocolo de San Salvador, que en su Preámbulo expresa que “</w:t>
      </w:r>
      <w:r w:rsidR="008D2EB8" w:rsidRPr="005A4DF1">
        <w:rPr>
          <w:rFonts w:ascii="Verdana" w:hAnsi="Verdana" w:cs="Tahoma"/>
          <w:sz w:val="20"/>
          <w:szCs w:val="20"/>
        </w:rPr>
        <w:t>resulta de gran importancia que [los derechos económicos, sociales y culturales] sean reafirmados, desarrollados, perfeccionados y protegidos”. No podría entenderse</w:t>
      </w:r>
      <w:r w:rsidR="00663D07">
        <w:rPr>
          <w:rFonts w:ascii="Verdana" w:hAnsi="Verdana" w:cs="Tahoma"/>
          <w:sz w:val="20"/>
          <w:szCs w:val="20"/>
        </w:rPr>
        <w:t>,</w:t>
      </w:r>
      <w:r w:rsidR="008D2EB8" w:rsidRPr="005A4DF1">
        <w:rPr>
          <w:rFonts w:ascii="Verdana" w:hAnsi="Verdana" w:cs="Tahoma"/>
          <w:sz w:val="20"/>
          <w:szCs w:val="20"/>
        </w:rPr>
        <w:t xml:space="preserve"> entonces</w:t>
      </w:r>
      <w:r w:rsidR="00663D07">
        <w:rPr>
          <w:rFonts w:ascii="Verdana" w:hAnsi="Verdana" w:cs="Tahoma"/>
          <w:sz w:val="20"/>
          <w:szCs w:val="20"/>
        </w:rPr>
        <w:t>,</w:t>
      </w:r>
      <w:r w:rsidR="008D2EB8" w:rsidRPr="005A4DF1">
        <w:rPr>
          <w:rFonts w:ascii="Verdana" w:hAnsi="Verdana" w:cs="Tahoma"/>
          <w:sz w:val="20"/>
          <w:szCs w:val="20"/>
        </w:rPr>
        <w:t xml:space="preserve"> que el Protocolo de San Salvador tuvo por fin mermar la protección que existía antes de su entrada en vigor</w:t>
      </w:r>
      <w:r w:rsidR="008D2EB8" w:rsidRPr="005A4DF1">
        <w:rPr>
          <w:rStyle w:val="FootnoteReference"/>
          <w:rFonts w:ascii="Verdana" w:hAnsi="Verdana"/>
          <w:sz w:val="20"/>
          <w:szCs w:val="20"/>
        </w:rPr>
        <w:footnoteReference w:id="27"/>
      </w:r>
      <w:r w:rsidR="008D2EB8" w:rsidRPr="005A4DF1">
        <w:rPr>
          <w:rFonts w:ascii="Verdana" w:hAnsi="Verdana" w:cs="Tahoma"/>
          <w:sz w:val="20"/>
          <w:szCs w:val="20"/>
        </w:rPr>
        <w:t xml:space="preserve">. </w:t>
      </w:r>
    </w:p>
    <w:p w14:paraId="20538C1E" w14:textId="77777777" w:rsidR="008D2EB8" w:rsidRPr="005A4DF1" w:rsidRDefault="008D2EB8" w:rsidP="00454C7F">
      <w:pPr>
        <w:pStyle w:val="ListParagraph"/>
        <w:ind w:left="0"/>
        <w:contextualSpacing w:val="0"/>
        <w:jc w:val="both"/>
        <w:rPr>
          <w:rFonts w:ascii="Verdana" w:hAnsi="Verdana" w:cs="Tahoma"/>
          <w:sz w:val="20"/>
          <w:szCs w:val="20"/>
        </w:rPr>
      </w:pPr>
    </w:p>
    <w:p w14:paraId="40330FF3" w14:textId="0D249C70" w:rsidR="008D2EB8" w:rsidRPr="005A4DF1" w:rsidRDefault="00E05E9E" w:rsidP="00454C7F">
      <w:pPr>
        <w:pStyle w:val="ListParagraph"/>
        <w:ind w:left="0"/>
        <w:contextualSpacing w:val="0"/>
        <w:jc w:val="both"/>
        <w:rPr>
          <w:rFonts w:ascii="Verdana" w:hAnsi="Verdana" w:cs="Tahoma"/>
          <w:sz w:val="20"/>
          <w:szCs w:val="20"/>
        </w:rPr>
      </w:pPr>
      <w:r w:rsidRPr="005A4DF1">
        <w:rPr>
          <w:rFonts w:ascii="Verdana" w:hAnsi="Verdana" w:cs="Tahoma"/>
          <w:sz w:val="20"/>
          <w:szCs w:val="20"/>
        </w:rPr>
        <w:t>30</w:t>
      </w:r>
      <w:r w:rsidR="008D2EB8" w:rsidRPr="005A4DF1">
        <w:rPr>
          <w:rFonts w:ascii="Verdana" w:hAnsi="Verdana" w:cs="Tahoma"/>
          <w:sz w:val="20"/>
          <w:szCs w:val="20"/>
        </w:rPr>
        <w:t>.</w:t>
      </w:r>
      <w:r w:rsidR="008D2EB8" w:rsidRPr="005A4DF1">
        <w:rPr>
          <w:rFonts w:ascii="Verdana" w:hAnsi="Verdana" w:cs="Tahoma"/>
          <w:sz w:val="20"/>
          <w:szCs w:val="20"/>
        </w:rPr>
        <w:tab/>
        <w:t>Por último, antes de efectuar consideraciones adicionales sobre el derecho a la vivienda, las obligaciones atinentes al mismo y su vulneración en el caso</w:t>
      </w:r>
      <w:r w:rsidR="00663D07">
        <w:rPr>
          <w:rFonts w:ascii="Verdana" w:hAnsi="Verdana" w:cs="Tahoma"/>
          <w:sz w:val="20"/>
          <w:szCs w:val="20"/>
        </w:rPr>
        <w:t xml:space="preserve"> en los siguientes epígrafes</w:t>
      </w:r>
      <w:r w:rsidR="008D2EB8" w:rsidRPr="005A4DF1">
        <w:rPr>
          <w:rFonts w:ascii="Verdana" w:hAnsi="Verdana" w:cs="Tahoma"/>
          <w:sz w:val="20"/>
          <w:szCs w:val="20"/>
        </w:rPr>
        <w:t xml:space="preserve">, considero relevante agregar </w:t>
      </w:r>
      <w:r w:rsidR="00A7488E">
        <w:rPr>
          <w:rFonts w:ascii="Verdana" w:hAnsi="Verdana" w:cs="Tahoma"/>
          <w:sz w:val="20"/>
          <w:szCs w:val="20"/>
        </w:rPr>
        <w:t xml:space="preserve">algunas consideraciones </w:t>
      </w:r>
      <w:r w:rsidR="005F6030">
        <w:rPr>
          <w:rFonts w:ascii="Verdana" w:hAnsi="Verdana" w:cs="Tahoma"/>
          <w:sz w:val="20"/>
          <w:szCs w:val="20"/>
        </w:rPr>
        <w:t xml:space="preserve">finales en este apartado, relativas a </w:t>
      </w:r>
      <w:r w:rsidR="00A7488E">
        <w:rPr>
          <w:rFonts w:ascii="Verdana" w:hAnsi="Verdana" w:cs="Tahoma"/>
          <w:sz w:val="20"/>
          <w:szCs w:val="20"/>
        </w:rPr>
        <w:t xml:space="preserve">la </w:t>
      </w:r>
      <w:r w:rsidR="008D2EB8" w:rsidRPr="005A4DF1">
        <w:rPr>
          <w:rFonts w:ascii="Verdana" w:hAnsi="Verdana" w:cs="Tahoma"/>
          <w:sz w:val="20"/>
          <w:szCs w:val="20"/>
        </w:rPr>
        <w:t>legitimidad de la actuación del Tribunal</w:t>
      </w:r>
      <w:r w:rsidR="00663D07">
        <w:rPr>
          <w:rFonts w:ascii="Verdana" w:hAnsi="Verdana" w:cs="Tahoma"/>
          <w:sz w:val="20"/>
          <w:szCs w:val="20"/>
        </w:rPr>
        <w:t xml:space="preserve"> Interamericano</w:t>
      </w:r>
      <w:r w:rsidR="008D2EB8" w:rsidRPr="005A4DF1">
        <w:rPr>
          <w:rFonts w:ascii="Verdana" w:hAnsi="Verdana" w:cs="Tahoma"/>
          <w:sz w:val="20"/>
          <w:szCs w:val="20"/>
        </w:rPr>
        <w:t xml:space="preserve">. </w:t>
      </w:r>
    </w:p>
    <w:p w14:paraId="01F7A7D6" w14:textId="77777777" w:rsidR="008D2EB8" w:rsidRPr="005A4DF1" w:rsidRDefault="008D2EB8" w:rsidP="00454C7F">
      <w:pPr>
        <w:pStyle w:val="ListParagraph"/>
        <w:ind w:left="0"/>
        <w:contextualSpacing w:val="0"/>
        <w:jc w:val="both"/>
        <w:rPr>
          <w:rFonts w:ascii="Verdana" w:hAnsi="Verdana" w:cs="Tahoma"/>
          <w:sz w:val="20"/>
          <w:szCs w:val="20"/>
        </w:rPr>
      </w:pPr>
    </w:p>
    <w:p w14:paraId="14EE65F5" w14:textId="338B3221" w:rsidR="008D2EB8" w:rsidRPr="005A4DF1" w:rsidRDefault="00E05E9E" w:rsidP="00454C7F">
      <w:pPr>
        <w:pStyle w:val="ListParagraph"/>
        <w:ind w:left="0"/>
        <w:contextualSpacing w:val="0"/>
        <w:jc w:val="both"/>
        <w:rPr>
          <w:rFonts w:ascii="Verdana" w:hAnsi="Verdana" w:cs="Tahoma"/>
          <w:sz w:val="20"/>
          <w:szCs w:val="20"/>
        </w:rPr>
      </w:pPr>
      <w:r w:rsidRPr="005A4DF1">
        <w:rPr>
          <w:rFonts w:ascii="Verdana" w:hAnsi="Verdana" w:cs="Tahoma"/>
          <w:sz w:val="20"/>
          <w:szCs w:val="20"/>
        </w:rPr>
        <w:t>31</w:t>
      </w:r>
      <w:r w:rsidR="00F65DC9">
        <w:rPr>
          <w:rFonts w:ascii="Verdana" w:hAnsi="Verdana" w:cs="Tahoma"/>
          <w:sz w:val="20"/>
          <w:szCs w:val="20"/>
        </w:rPr>
        <w:t>.</w:t>
      </w:r>
      <w:r w:rsidR="00F65DC9">
        <w:rPr>
          <w:rFonts w:ascii="Verdana" w:hAnsi="Verdana" w:cs="Tahoma"/>
          <w:sz w:val="20"/>
          <w:szCs w:val="20"/>
        </w:rPr>
        <w:tab/>
      </w:r>
      <w:proofErr w:type="spellStart"/>
      <w:r w:rsidR="00F65DC9">
        <w:rPr>
          <w:rFonts w:ascii="Verdana" w:hAnsi="Verdana" w:cs="Tahoma"/>
          <w:sz w:val="20"/>
          <w:szCs w:val="20"/>
        </w:rPr>
        <w:t>Aú</w:t>
      </w:r>
      <w:r w:rsidR="00AE28C0">
        <w:rPr>
          <w:rFonts w:ascii="Verdana" w:hAnsi="Verdana" w:cs="Tahoma"/>
          <w:sz w:val="20"/>
          <w:szCs w:val="20"/>
        </w:rPr>
        <w:t>n</w:t>
      </w:r>
      <w:proofErr w:type="spellEnd"/>
      <w:r w:rsidR="00AE28C0">
        <w:rPr>
          <w:rFonts w:ascii="Verdana" w:hAnsi="Verdana" w:cs="Tahoma"/>
          <w:sz w:val="20"/>
          <w:szCs w:val="20"/>
        </w:rPr>
        <w:t xml:space="preserve"> partiendo de la </w:t>
      </w:r>
      <w:r w:rsidR="008D2EB8" w:rsidRPr="005A4DF1">
        <w:rPr>
          <w:rFonts w:ascii="Verdana" w:hAnsi="Verdana" w:cs="Tahoma"/>
          <w:sz w:val="20"/>
          <w:szCs w:val="20"/>
        </w:rPr>
        <w:t>hipótesis de aceptar que no fu</w:t>
      </w:r>
      <w:r w:rsidR="0068364A" w:rsidRPr="005A4DF1">
        <w:rPr>
          <w:rFonts w:ascii="Verdana" w:hAnsi="Verdana" w:cs="Tahoma"/>
          <w:sz w:val="20"/>
          <w:szCs w:val="20"/>
        </w:rPr>
        <w:t>e la voluntad de los Estados as</w:t>
      </w:r>
      <w:r w:rsidR="008D2EB8" w:rsidRPr="005A4DF1">
        <w:rPr>
          <w:rFonts w:ascii="Verdana" w:hAnsi="Verdana" w:cs="Tahoma"/>
          <w:sz w:val="20"/>
          <w:szCs w:val="20"/>
        </w:rPr>
        <w:t>i</w:t>
      </w:r>
      <w:r w:rsidR="0068364A" w:rsidRPr="005A4DF1">
        <w:rPr>
          <w:rFonts w:ascii="Verdana" w:hAnsi="Verdana" w:cs="Tahoma"/>
          <w:sz w:val="20"/>
          <w:szCs w:val="20"/>
        </w:rPr>
        <w:t>g</w:t>
      </w:r>
      <w:r w:rsidR="008D2EB8" w:rsidRPr="005A4DF1">
        <w:rPr>
          <w:rFonts w:ascii="Verdana" w:hAnsi="Verdana" w:cs="Tahoma"/>
          <w:sz w:val="20"/>
          <w:szCs w:val="20"/>
        </w:rPr>
        <w:t xml:space="preserve">nar a la Corte </w:t>
      </w:r>
      <w:r w:rsidR="0068364A" w:rsidRPr="005A4DF1">
        <w:rPr>
          <w:rFonts w:ascii="Verdana" w:hAnsi="Verdana" w:cs="Tahoma"/>
          <w:sz w:val="20"/>
          <w:szCs w:val="20"/>
        </w:rPr>
        <w:t xml:space="preserve">IDH </w:t>
      </w:r>
      <w:r w:rsidR="008D2EB8" w:rsidRPr="005A4DF1">
        <w:rPr>
          <w:rFonts w:ascii="Verdana" w:hAnsi="Verdana" w:cs="Tahoma"/>
          <w:sz w:val="20"/>
          <w:szCs w:val="20"/>
        </w:rPr>
        <w:t xml:space="preserve">competencia en relación con derechos sociales, no considero que la posible </w:t>
      </w:r>
      <w:proofErr w:type="spellStart"/>
      <w:r w:rsidR="008D2EB8" w:rsidRPr="005A4DF1">
        <w:rPr>
          <w:rFonts w:ascii="Verdana" w:hAnsi="Verdana" w:cs="Tahoma"/>
          <w:sz w:val="20"/>
          <w:szCs w:val="20"/>
        </w:rPr>
        <w:t>justiciabilidad</w:t>
      </w:r>
      <w:proofErr w:type="spellEnd"/>
      <w:r w:rsidR="008D2EB8" w:rsidRPr="005A4DF1">
        <w:rPr>
          <w:rFonts w:ascii="Verdana" w:hAnsi="Verdana" w:cs="Tahoma"/>
          <w:sz w:val="20"/>
          <w:szCs w:val="20"/>
        </w:rPr>
        <w:t xml:space="preserve"> de los mismos sea susceptible, </w:t>
      </w:r>
      <w:r w:rsidR="008D2EB8" w:rsidRPr="005A4DF1">
        <w:rPr>
          <w:rFonts w:ascii="Verdana" w:hAnsi="Verdana" w:cs="Tahoma"/>
          <w:i/>
          <w:sz w:val="20"/>
          <w:szCs w:val="20"/>
        </w:rPr>
        <w:t xml:space="preserve">per se, </w:t>
      </w:r>
      <w:r w:rsidR="008D2EB8" w:rsidRPr="005A4DF1">
        <w:rPr>
          <w:rFonts w:ascii="Verdana" w:hAnsi="Verdana" w:cs="Tahoma"/>
          <w:sz w:val="20"/>
          <w:szCs w:val="20"/>
        </w:rPr>
        <w:t>de menoscabar la legitimidad del Tribunal</w:t>
      </w:r>
      <w:r w:rsidR="00AE28C0">
        <w:rPr>
          <w:rFonts w:ascii="Verdana" w:hAnsi="Verdana" w:cs="Tahoma"/>
          <w:sz w:val="20"/>
          <w:szCs w:val="20"/>
        </w:rPr>
        <w:t xml:space="preserve"> Interamericano</w:t>
      </w:r>
      <w:r w:rsidR="008D2EB8" w:rsidRPr="005A4DF1">
        <w:rPr>
          <w:rFonts w:ascii="Verdana" w:hAnsi="Verdana" w:cs="Tahoma"/>
          <w:sz w:val="20"/>
          <w:szCs w:val="20"/>
        </w:rPr>
        <w:t xml:space="preserve">. En primer término, cabe advertir que la Corte </w:t>
      </w:r>
      <w:r w:rsidR="0068364A" w:rsidRPr="005A4DF1">
        <w:rPr>
          <w:rFonts w:ascii="Verdana" w:hAnsi="Verdana" w:cs="Tahoma"/>
          <w:sz w:val="20"/>
          <w:szCs w:val="20"/>
        </w:rPr>
        <w:t xml:space="preserve">IDH </w:t>
      </w:r>
      <w:r w:rsidR="008D2EB8" w:rsidRPr="005A4DF1">
        <w:rPr>
          <w:rFonts w:ascii="Verdana" w:hAnsi="Verdana" w:cs="Tahoma"/>
          <w:sz w:val="20"/>
          <w:szCs w:val="20"/>
        </w:rPr>
        <w:t>ha hecho un entendimien</w:t>
      </w:r>
      <w:r w:rsidR="00F65DC9">
        <w:rPr>
          <w:rFonts w:ascii="Verdana" w:hAnsi="Verdana" w:cs="Tahoma"/>
          <w:sz w:val="20"/>
          <w:szCs w:val="20"/>
        </w:rPr>
        <w:t xml:space="preserve">to amplio de varios derechos. </w:t>
      </w:r>
      <w:proofErr w:type="spellStart"/>
      <w:r w:rsidR="00F65DC9">
        <w:rPr>
          <w:rFonts w:ascii="Verdana" w:hAnsi="Verdana" w:cs="Tahoma"/>
          <w:sz w:val="20"/>
          <w:szCs w:val="20"/>
        </w:rPr>
        <w:t>Aú</w:t>
      </w:r>
      <w:r w:rsidR="008D2EB8" w:rsidRPr="005A4DF1">
        <w:rPr>
          <w:rFonts w:ascii="Verdana" w:hAnsi="Verdana" w:cs="Tahoma"/>
          <w:sz w:val="20"/>
          <w:szCs w:val="20"/>
        </w:rPr>
        <w:t>n</w:t>
      </w:r>
      <w:proofErr w:type="spellEnd"/>
      <w:r w:rsidR="008D2EB8" w:rsidRPr="005A4DF1">
        <w:rPr>
          <w:rFonts w:ascii="Verdana" w:hAnsi="Verdana" w:cs="Tahoma"/>
          <w:sz w:val="20"/>
          <w:szCs w:val="20"/>
        </w:rPr>
        <w:t xml:space="preserve"> cuando ello se ha hecho por vía de la interpretación de derechos civiles y políticos, no podría aseverarse </w:t>
      </w:r>
      <w:r w:rsidR="008D2EB8" w:rsidRPr="005A4DF1">
        <w:rPr>
          <w:rFonts w:ascii="Verdana" w:hAnsi="Verdana" w:cs="Tahoma"/>
          <w:sz w:val="20"/>
          <w:szCs w:val="20"/>
        </w:rPr>
        <w:lastRenderedPageBreak/>
        <w:t xml:space="preserve">con certeza, como algo evidente </w:t>
      </w:r>
      <w:r w:rsidR="008D2EB8" w:rsidRPr="005A4DF1">
        <w:rPr>
          <w:rFonts w:ascii="Verdana" w:hAnsi="Verdana" w:cs="Tahoma"/>
          <w:i/>
          <w:sz w:val="20"/>
          <w:szCs w:val="20"/>
        </w:rPr>
        <w:t>a priori,</w:t>
      </w:r>
      <w:r w:rsidR="008D2EB8" w:rsidRPr="005A4DF1">
        <w:rPr>
          <w:rFonts w:ascii="Verdana" w:hAnsi="Verdana" w:cs="Tahoma"/>
          <w:sz w:val="20"/>
          <w:szCs w:val="20"/>
        </w:rPr>
        <w:t xml:space="preserve"> </w:t>
      </w:r>
      <w:r w:rsidR="0068364A" w:rsidRPr="005A4DF1">
        <w:rPr>
          <w:rFonts w:ascii="Verdana" w:hAnsi="Verdana" w:cs="Tahoma"/>
          <w:sz w:val="20"/>
          <w:szCs w:val="20"/>
        </w:rPr>
        <w:t>que tales inte</w:t>
      </w:r>
      <w:r w:rsidR="008D2EB8" w:rsidRPr="005A4DF1">
        <w:rPr>
          <w:rFonts w:ascii="Verdana" w:hAnsi="Verdana" w:cs="Tahoma"/>
          <w:sz w:val="20"/>
          <w:szCs w:val="20"/>
        </w:rPr>
        <w:t>rpretaciones hayan sido, en t</w:t>
      </w:r>
      <w:r w:rsidR="0068364A" w:rsidRPr="005A4DF1">
        <w:rPr>
          <w:rFonts w:ascii="Verdana" w:hAnsi="Verdana" w:cs="Tahoma"/>
          <w:sz w:val="20"/>
          <w:szCs w:val="20"/>
        </w:rPr>
        <w:t>odos los casos, acordes al entend</w:t>
      </w:r>
      <w:r w:rsidR="008D2EB8" w:rsidRPr="005A4DF1">
        <w:rPr>
          <w:rFonts w:ascii="Verdana" w:hAnsi="Verdana" w:cs="Tahoma"/>
          <w:sz w:val="20"/>
          <w:szCs w:val="20"/>
        </w:rPr>
        <w:t xml:space="preserve">imiento que en 1969 tuvieron los Estados sobre los derechos que decidieron plasmar en el Pacto </w:t>
      </w:r>
      <w:r w:rsidR="0068364A" w:rsidRPr="005A4DF1">
        <w:rPr>
          <w:rFonts w:ascii="Verdana" w:hAnsi="Verdana" w:cs="Tahoma"/>
          <w:sz w:val="20"/>
          <w:szCs w:val="20"/>
        </w:rPr>
        <w:t>de San José. Así, solo por mencionar</w:t>
      </w:r>
      <w:r w:rsidR="008D2EB8" w:rsidRPr="005A4DF1">
        <w:rPr>
          <w:rFonts w:ascii="Verdana" w:hAnsi="Verdana" w:cs="Tahoma"/>
          <w:sz w:val="20"/>
          <w:szCs w:val="20"/>
        </w:rPr>
        <w:t xml:space="preserve"> un ejemplo, cabe preguntarse si los Estados tuvieron la intención de entender el derecho </w:t>
      </w:r>
      <w:r w:rsidR="008F05BB">
        <w:rPr>
          <w:rFonts w:ascii="Verdana" w:hAnsi="Verdana" w:cs="Tahoma"/>
          <w:sz w:val="20"/>
          <w:szCs w:val="20"/>
        </w:rPr>
        <w:t>a la</w:t>
      </w:r>
      <w:r w:rsidR="008D2EB8" w:rsidRPr="005A4DF1">
        <w:rPr>
          <w:rFonts w:ascii="Verdana" w:hAnsi="Verdana" w:cs="Tahoma"/>
          <w:sz w:val="20"/>
          <w:szCs w:val="20"/>
        </w:rPr>
        <w:t xml:space="preserve"> propiedad</w:t>
      </w:r>
      <w:r w:rsidR="008F05BB">
        <w:rPr>
          <w:rFonts w:ascii="Verdana" w:hAnsi="Verdana" w:cs="Tahoma"/>
          <w:sz w:val="20"/>
          <w:szCs w:val="20"/>
        </w:rPr>
        <w:t xml:space="preserve"> privada</w:t>
      </w:r>
      <w:r w:rsidR="008D2EB8" w:rsidRPr="005A4DF1">
        <w:rPr>
          <w:rFonts w:ascii="Verdana" w:hAnsi="Verdana" w:cs="Tahoma"/>
          <w:sz w:val="20"/>
          <w:szCs w:val="20"/>
        </w:rPr>
        <w:t xml:space="preserve">, plasmado en el artículo 21 del </w:t>
      </w:r>
      <w:r w:rsidR="008F05BB">
        <w:rPr>
          <w:rFonts w:ascii="Verdana" w:hAnsi="Verdana" w:cs="Tahoma"/>
          <w:sz w:val="20"/>
          <w:szCs w:val="20"/>
        </w:rPr>
        <w:t>Pacto de San José</w:t>
      </w:r>
      <w:r w:rsidR="008D2EB8" w:rsidRPr="005A4DF1">
        <w:rPr>
          <w:rFonts w:ascii="Verdana" w:hAnsi="Verdana" w:cs="Tahoma"/>
          <w:sz w:val="20"/>
          <w:szCs w:val="20"/>
        </w:rPr>
        <w:t xml:space="preserve">, como comprensivo de la propiedad de </w:t>
      </w:r>
      <w:r w:rsidR="00AE28C0">
        <w:rPr>
          <w:rFonts w:ascii="Verdana" w:hAnsi="Verdana" w:cs="Tahoma"/>
          <w:sz w:val="20"/>
          <w:szCs w:val="20"/>
        </w:rPr>
        <w:t xml:space="preserve">los </w:t>
      </w:r>
      <w:r w:rsidR="008D2EB8" w:rsidRPr="005A4DF1">
        <w:rPr>
          <w:rFonts w:ascii="Verdana" w:hAnsi="Verdana" w:cs="Tahoma"/>
          <w:sz w:val="20"/>
          <w:szCs w:val="20"/>
        </w:rPr>
        <w:t>pueblos indígenas o tribales sobre sus tierras o territorios, con todas las consecuencias que ello acarrea. No obstante, la jurisprudencia de la Corte</w:t>
      </w:r>
      <w:r w:rsidR="0068364A" w:rsidRPr="005A4DF1">
        <w:rPr>
          <w:rFonts w:ascii="Verdana" w:hAnsi="Verdana" w:cs="Tahoma"/>
          <w:sz w:val="20"/>
          <w:szCs w:val="20"/>
        </w:rPr>
        <w:t xml:space="preserve"> IDH</w:t>
      </w:r>
      <w:r w:rsidR="008D2EB8" w:rsidRPr="005A4DF1">
        <w:rPr>
          <w:rFonts w:ascii="Verdana" w:hAnsi="Verdana" w:cs="Tahoma"/>
          <w:sz w:val="20"/>
          <w:szCs w:val="20"/>
        </w:rPr>
        <w:t xml:space="preserve"> ha entendido </w:t>
      </w:r>
      <w:r w:rsidR="00F65DC9">
        <w:rPr>
          <w:rFonts w:ascii="Verdana" w:hAnsi="Verdana" w:cs="Tahoma"/>
          <w:sz w:val="20"/>
          <w:szCs w:val="20"/>
        </w:rPr>
        <w:t xml:space="preserve">que </w:t>
      </w:r>
      <w:r w:rsidR="008D2EB8" w:rsidRPr="005A4DF1">
        <w:rPr>
          <w:rFonts w:ascii="Verdana" w:hAnsi="Verdana" w:cs="Tahoma"/>
          <w:sz w:val="20"/>
          <w:szCs w:val="20"/>
        </w:rPr>
        <w:t xml:space="preserve">el derecho a la propiedad </w:t>
      </w:r>
      <w:r w:rsidR="00F65DC9">
        <w:rPr>
          <w:rFonts w:ascii="Verdana" w:hAnsi="Verdana" w:cs="Tahoma"/>
          <w:sz w:val="20"/>
          <w:szCs w:val="20"/>
        </w:rPr>
        <w:t>privada abarca la protección de la propiedad colectiva indígena y tribal</w:t>
      </w:r>
      <w:r w:rsidR="008D2EB8" w:rsidRPr="005A4DF1">
        <w:rPr>
          <w:rStyle w:val="FootnoteReference"/>
          <w:rFonts w:ascii="Verdana" w:hAnsi="Verdana"/>
          <w:sz w:val="20"/>
          <w:szCs w:val="20"/>
        </w:rPr>
        <w:footnoteReference w:id="28"/>
      </w:r>
      <w:r w:rsidR="008D2EB8" w:rsidRPr="005A4DF1">
        <w:rPr>
          <w:rFonts w:ascii="Verdana" w:hAnsi="Verdana" w:cs="Tahoma"/>
          <w:sz w:val="20"/>
          <w:szCs w:val="20"/>
        </w:rPr>
        <w:t xml:space="preserve">. </w:t>
      </w:r>
    </w:p>
    <w:p w14:paraId="18CA17BD" w14:textId="77777777" w:rsidR="008D2EB8" w:rsidRPr="005A4DF1" w:rsidRDefault="008D2EB8" w:rsidP="00454C7F">
      <w:pPr>
        <w:pStyle w:val="ListParagraph"/>
        <w:ind w:left="0"/>
        <w:contextualSpacing w:val="0"/>
        <w:jc w:val="both"/>
        <w:rPr>
          <w:rFonts w:ascii="Verdana" w:hAnsi="Verdana" w:cs="Tahoma"/>
          <w:sz w:val="20"/>
          <w:szCs w:val="20"/>
        </w:rPr>
      </w:pPr>
    </w:p>
    <w:p w14:paraId="1BFD6CD4" w14:textId="7E0ED980" w:rsidR="008D2EB8" w:rsidRPr="005A4DF1" w:rsidRDefault="00E05E9E" w:rsidP="00454C7F">
      <w:pPr>
        <w:pStyle w:val="ListParagraph"/>
        <w:ind w:left="0"/>
        <w:contextualSpacing w:val="0"/>
        <w:jc w:val="both"/>
        <w:rPr>
          <w:rFonts w:ascii="Verdana" w:hAnsi="Verdana" w:cs="Tahoma"/>
          <w:sz w:val="20"/>
          <w:szCs w:val="20"/>
        </w:rPr>
      </w:pPr>
      <w:r w:rsidRPr="005A4DF1">
        <w:rPr>
          <w:rFonts w:ascii="Verdana" w:hAnsi="Verdana" w:cs="Tahoma"/>
          <w:sz w:val="20"/>
          <w:szCs w:val="20"/>
        </w:rPr>
        <w:t>32</w:t>
      </w:r>
      <w:r w:rsidR="008D2EB8" w:rsidRPr="005A4DF1">
        <w:rPr>
          <w:rFonts w:ascii="Verdana" w:hAnsi="Verdana" w:cs="Tahoma"/>
          <w:sz w:val="20"/>
          <w:szCs w:val="20"/>
        </w:rPr>
        <w:t>.</w:t>
      </w:r>
      <w:r w:rsidR="008D2EB8" w:rsidRPr="005A4DF1">
        <w:rPr>
          <w:rFonts w:ascii="Verdana" w:hAnsi="Verdana" w:cs="Tahoma"/>
          <w:sz w:val="20"/>
          <w:szCs w:val="20"/>
        </w:rPr>
        <w:tab/>
      </w:r>
      <w:r w:rsidR="00F65DC9">
        <w:rPr>
          <w:rFonts w:ascii="Verdana" w:hAnsi="Verdana" w:cs="Tahoma"/>
          <w:sz w:val="20"/>
          <w:szCs w:val="20"/>
        </w:rPr>
        <w:t>A</w:t>
      </w:r>
      <w:r w:rsidR="008D2EB8" w:rsidRPr="005A4DF1">
        <w:rPr>
          <w:rFonts w:ascii="Verdana" w:hAnsi="Verdana" w:cs="Tahoma"/>
          <w:sz w:val="20"/>
          <w:szCs w:val="20"/>
        </w:rPr>
        <w:t xml:space="preserve"> mi entender la legitimidad del Tribunal </w:t>
      </w:r>
      <w:r w:rsidR="0068364A" w:rsidRPr="005A4DF1">
        <w:rPr>
          <w:rFonts w:ascii="Verdana" w:hAnsi="Verdana" w:cs="Tahoma"/>
          <w:sz w:val="20"/>
          <w:szCs w:val="20"/>
        </w:rPr>
        <w:t xml:space="preserve">Interamericano </w:t>
      </w:r>
      <w:r w:rsidR="008D2EB8" w:rsidRPr="005A4DF1">
        <w:rPr>
          <w:rFonts w:ascii="Verdana" w:hAnsi="Verdana" w:cs="Tahoma"/>
          <w:sz w:val="20"/>
          <w:szCs w:val="20"/>
        </w:rPr>
        <w:t xml:space="preserve">se vincula, al menos en mayor medida que respecto a la observancia de la presunta “voluntad” de los Estados, a la capacidad de la Corte </w:t>
      </w:r>
      <w:r w:rsidR="0068364A" w:rsidRPr="005A4DF1">
        <w:rPr>
          <w:rFonts w:ascii="Verdana" w:hAnsi="Verdana" w:cs="Tahoma"/>
          <w:sz w:val="20"/>
          <w:szCs w:val="20"/>
        </w:rPr>
        <w:t xml:space="preserve">IDH </w:t>
      </w:r>
      <w:r w:rsidR="008D2EB8" w:rsidRPr="005A4DF1">
        <w:rPr>
          <w:rFonts w:ascii="Verdana" w:hAnsi="Verdana" w:cs="Tahoma"/>
          <w:sz w:val="20"/>
          <w:szCs w:val="20"/>
        </w:rPr>
        <w:t>para adaptar su actuación a las problemáticas actuales sobre derechos humanos, y a los avances que se van desarrollando sobre</w:t>
      </w:r>
      <w:r w:rsidR="00AE28C0">
        <w:rPr>
          <w:rFonts w:ascii="Verdana" w:hAnsi="Verdana" w:cs="Tahoma"/>
          <w:sz w:val="20"/>
          <w:szCs w:val="20"/>
        </w:rPr>
        <w:t xml:space="preserve"> el entendimiento de los mismos;</w:t>
      </w:r>
      <w:r w:rsidR="008D2EB8" w:rsidRPr="005A4DF1">
        <w:rPr>
          <w:rFonts w:ascii="Verdana" w:hAnsi="Verdana" w:cs="Tahoma"/>
          <w:sz w:val="20"/>
          <w:szCs w:val="20"/>
        </w:rPr>
        <w:t xml:space="preserve"> siempre</w:t>
      </w:r>
      <w:r w:rsidR="0068364A" w:rsidRPr="005A4DF1">
        <w:rPr>
          <w:rFonts w:ascii="Verdana" w:hAnsi="Verdana" w:cs="Tahoma"/>
          <w:sz w:val="20"/>
          <w:szCs w:val="20"/>
        </w:rPr>
        <w:t>, por su puesto, con apego estri</w:t>
      </w:r>
      <w:r w:rsidR="008D2EB8" w:rsidRPr="005A4DF1">
        <w:rPr>
          <w:rFonts w:ascii="Verdana" w:hAnsi="Verdana" w:cs="Tahoma"/>
          <w:sz w:val="20"/>
          <w:szCs w:val="20"/>
        </w:rPr>
        <w:t xml:space="preserve">cto al marco de su competencia y funciones. </w:t>
      </w:r>
    </w:p>
    <w:p w14:paraId="6444B936" w14:textId="77777777" w:rsidR="008D2EB8" w:rsidRPr="005A4DF1" w:rsidRDefault="008D2EB8" w:rsidP="00454C7F">
      <w:pPr>
        <w:pStyle w:val="ListParagraph"/>
        <w:ind w:left="0"/>
        <w:contextualSpacing w:val="0"/>
        <w:jc w:val="both"/>
        <w:rPr>
          <w:rFonts w:ascii="Verdana" w:hAnsi="Verdana" w:cs="Tahoma"/>
          <w:sz w:val="20"/>
          <w:szCs w:val="20"/>
        </w:rPr>
      </w:pPr>
    </w:p>
    <w:p w14:paraId="3B822F4C" w14:textId="7C798786" w:rsidR="008D2EB8" w:rsidRPr="005A4DF1" w:rsidRDefault="00E05E9E" w:rsidP="00454C7F">
      <w:pPr>
        <w:pStyle w:val="ListParagraph"/>
        <w:ind w:left="0"/>
        <w:contextualSpacing w:val="0"/>
        <w:jc w:val="both"/>
        <w:rPr>
          <w:rFonts w:ascii="Verdana" w:hAnsi="Verdana" w:cs="Tahoma"/>
          <w:sz w:val="20"/>
          <w:szCs w:val="20"/>
        </w:rPr>
      </w:pPr>
      <w:r w:rsidRPr="005A4DF1">
        <w:rPr>
          <w:rFonts w:ascii="Verdana" w:hAnsi="Verdana" w:cs="Tahoma"/>
          <w:sz w:val="20"/>
          <w:szCs w:val="20"/>
        </w:rPr>
        <w:t>33</w:t>
      </w:r>
      <w:r w:rsidR="008D2EB8" w:rsidRPr="005A4DF1">
        <w:rPr>
          <w:rFonts w:ascii="Verdana" w:hAnsi="Verdana" w:cs="Tahoma"/>
          <w:sz w:val="20"/>
          <w:szCs w:val="20"/>
        </w:rPr>
        <w:t>.</w:t>
      </w:r>
      <w:r w:rsidR="008D2EB8" w:rsidRPr="005A4DF1">
        <w:rPr>
          <w:rFonts w:ascii="Verdana" w:hAnsi="Verdana" w:cs="Tahoma"/>
          <w:sz w:val="20"/>
          <w:szCs w:val="20"/>
        </w:rPr>
        <w:tab/>
        <w:t>En relación con lo anterior</w:t>
      </w:r>
      <w:r w:rsidR="00AE28C0">
        <w:rPr>
          <w:rFonts w:ascii="Verdana" w:hAnsi="Verdana" w:cs="Tahoma"/>
          <w:sz w:val="20"/>
          <w:szCs w:val="20"/>
        </w:rPr>
        <w:t>, con claridad se advierte la tendencia y avances en el á</w:t>
      </w:r>
      <w:r w:rsidR="008D2EB8" w:rsidRPr="005A4DF1">
        <w:rPr>
          <w:rFonts w:ascii="Verdana" w:hAnsi="Verdana" w:cs="Tahoma"/>
          <w:sz w:val="20"/>
          <w:szCs w:val="20"/>
        </w:rPr>
        <w:t xml:space="preserve">mbito internacional en cuanto a la precisión y </w:t>
      </w:r>
      <w:proofErr w:type="spellStart"/>
      <w:r w:rsidR="008D2EB8" w:rsidRPr="005A4DF1">
        <w:rPr>
          <w:rFonts w:ascii="Verdana" w:hAnsi="Verdana" w:cs="Tahoma"/>
          <w:sz w:val="20"/>
          <w:szCs w:val="20"/>
        </w:rPr>
        <w:t>justiciabilidad</w:t>
      </w:r>
      <w:proofErr w:type="spellEnd"/>
      <w:r w:rsidR="008D2EB8" w:rsidRPr="005A4DF1">
        <w:rPr>
          <w:rFonts w:ascii="Verdana" w:hAnsi="Verdana" w:cs="Tahoma"/>
          <w:sz w:val="20"/>
          <w:szCs w:val="20"/>
        </w:rPr>
        <w:t xml:space="preserve"> de los derechos sociales</w:t>
      </w:r>
      <w:r w:rsidR="008D2EB8" w:rsidRPr="005A4DF1">
        <w:rPr>
          <w:rStyle w:val="FootnoteReference"/>
          <w:rFonts w:ascii="Verdana" w:hAnsi="Verdana"/>
          <w:sz w:val="20"/>
          <w:szCs w:val="20"/>
        </w:rPr>
        <w:footnoteReference w:id="29"/>
      </w:r>
      <w:r w:rsidR="008D2EB8" w:rsidRPr="005A4DF1">
        <w:rPr>
          <w:rFonts w:ascii="Verdana" w:hAnsi="Verdana" w:cs="Tahoma"/>
          <w:sz w:val="20"/>
          <w:szCs w:val="20"/>
        </w:rPr>
        <w:t xml:space="preserve">. </w:t>
      </w:r>
      <w:r w:rsidR="00B33D31">
        <w:rPr>
          <w:rFonts w:ascii="Verdana" w:hAnsi="Verdana" w:cs="Tahoma"/>
          <w:sz w:val="20"/>
          <w:szCs w:val="20"/>
        </w:rPr>
        <w:t xml:space="preserve">En ese sentido, </w:t>
      </w:r>
      <w:r w:rsidR="008D2EB8" w:rsidRPr="005A4DF1">
        <w:rPr>
          <w:rFonts w:ascii="Verdana" w:hAnsi="Verdana" w:cs="Tahoma"/>
          <w:sz w:val="20"/>
          <w:szCs w:val="20"/>
        </w:rPr>
        <w:t>me permito mencionar, por una parte, que se encuentra constituido,</w:t>
      </w:r>
      <w:r w:rsidR="00481AE2">
        <w:rPr>
          <w:rFonts w:ascii="Verdana" w:hAnsi="Verdana" w:cs="Tahoma"/>
          <w:sz w:val="20"/>
          <w:szCs w:val="20"/>
        </w:rPr>
        <w:t xml:space="preserve"> </w:t>
      </w:r>
      <w:r w:rsidR="008D2EB8" w:rsidRPr="005A4DF1">
        <w:rPr>
          <w:rFonts w:ascii="Verdana" w:hAnsi="Verdana" w:cs="Tahoma"/>
          <w:sz w:val="20"/>
          <w:szCs w:val="20"/>
        </w:rPr>
        <w:t>desde 2010, el Grupo de Trabajo para el análisis de los informes nacionales previstos en el Protocolo de San Salvador</w:t>
      </w:r>
      <w:r w:rsidR="008D2EB8" w:rsidRPr="005A4DF1">
        <w:rPr>
          <w:rStyle w:val="FootnoteReference"/>
          <w:rFonts w:ascii="Verdana" w:hAnsi="Verdana"/>
          <w:sz w:val="20"/>
          <w:szCs w:val="20"/>
        </w:rPr>
        <w:footnoteReference w:id="30"/>
      </w:r>
      <w:r w:rsidR="008D2EB8" w:rsidRPr="005A4DF1">
        <w:rPr>
          <w:rFonts w:ascii="Verdana" w:hAnsi="Verdana" w:cs="Tahoma"/>
          <w:sz w:val="20"/>
          <w:szCs w:val="20"/>
        </w:rPr>
        <w:t>. La actividad y los documentos emitidos en el marco de la labor de este órgano pueden coa</w:t>
      </w:r>
      <w:r w:rsidR="00AE28C0">
        <w:rPr>
          <w:rFonts w:ascii="Verdana" w:hAnsi="Verdana" w:cs="Tahoma"/>
          <w:sz w:val="20"/>
          <w:szCs w:val="20"/>
        </w:rPr>
        <w:t>d</w:t>
      </w:r>
      <w:r w:rsidR="008D2EB8" w:rsidRPr="005A4DF1">
        <w:rPr>
          <w:rFonts w:ascii="Verdana" w:hAnsi="Verdana" w:cs="Tahoma"/>
          <w:sz w:val="20"/>
          <w:szCs w:val="20"/>
        </w:rPr>
        <w:t xml:space="preserve">yuvar a la mayor </w:t>
      </w:r>
      <w:r w:rsidR="00AE28C0">
        <w:rPr>
          <w:rFonts w:ascii="Verdana" w:hAnsi="Verdana" w:cs="Tahoma"/>
          <w:sz w:val="20"/>
          <w:szCs w:val="20"/>
        </w:rPr>
        <w:t>precisió</w:t>
      </w:r>
      <w:r w:rsidR="008D2EB8" w:rsidRPr="005A4DF1">
        <w:rPr>
          <w:rFonts w:ascii="Verdana" w:hAnsi="Verdana" w:cs="Tahoma"/>
          <w:sz w:val="20"/>
          <w:szCs w:val="20"/>
        </w:rPr>
        <w:t xml:space="preserve">n e información sobre </w:t>
      </w:r>
      <w:r w:rsidR="00AE28C0">
        <w:rPr>
          <w:rFonts w:ascii="Verdana" w:hAnsi="Verdana" w:cs="Tahoma"/>
          <w:sz w:val="20"/>
          <w:szCs w:val="20"/>
        </w:rPr>
        <w:t xml:space="preserve">los </w:t>
      </w:r>
      <w:r w:rsidR="008D2EB8" w:rsidRPr="005A4DF1">
        <w:rPr>
          <w:rFonts w:ascii="Verdana" w:hAnsi="Verdana" w:cs="Tahoma"/>
          <w:sz w:val="20"/>
          <w:szCs w:val="20"/>
        </w:rPr>
        <w:t>derechos sociales</w:t>
      </w:r>
      <w:r w:rsidR="008D2EB8" w:rsidRPr="005A4DF1">
        <w:rPr>
          <w:rStyle w:val="FootnoteReference"/>
          <w:rFonts w:ascii="Verdana" w:hAnsi="Verdana"/>
          <w:sz w:val="20"/>
          <w:szCs w:val="20"/>
        </w:rPr>
        <w:footnoteReference w:id="31"/>
      </w:r>
      <w:r w:rsidR="008D2EB8" w:rsidRPr="005A4DF1">
        <w:rPr>
          <w:rFonts w:ascii="Verdana" w:hAnsi="Verdana" w:cs="Tahoma"/>
          <w:sz w:val="20"/>
          <w:szCs w:val="20"/>
        </w:rPr>
        <w:t>. Por otro lado, también ha entrado en vigor el Protocolo Facultativo del Pacto Internacional de Derechos Económicos, Sociales y Culturales</w:t>
      </w:r>
      <w:r w:rsidR="008D2EB8" w:rsidRPr="005A4DF1">
        <w:rPr>
          <w:rStyle w:val="FootnoteReference"/>
          <w:rFonts w:ascii="Verdana" w:hAnsi="Verdana"/>
          <w:sz w:val="20"/>
          <w:szCs w:val="20"/>
        </w:rPr>
        <w:footnoteReference w:id="32"/>
      </w:r>
      <w:r w:rsidR="008D2EB8" w:rsidRPr="005A4DF1">
        <w:rPr>
          <w:rFonts w:ascii="Verdana" w:hAnsi="Verdana" w:cs="Tahoma"/>
          <w:sz w:val="20"/>
          <w:szCs w:val="20"/>
        </w:rPr>
        <w:t xml:space="preserve">, que permite al </w:t>
      </w:r>
      <w:r w:rsidR="008D2EB8" w:rsidRPr="005A4DF1">
        <w:rPr>
          <w:rFonts w:ascii="Verdana" w:hAnsi="Verdana"/>
          <w:sz w:val="20"/>
          <w:szCs w:val="20"/>
        </w:rPr>
        <w:t xml:space="preserve">Comité de Derechos Económicos, Sociales y Culturales de Naciones </w:t>
      </w:r>
      <w:r w:rsidR="00D5289F">
        <w:rPr>
          <w:rFonts w:ascii="Verdana" w:hAnsi="Verdana"/>
          <w:sz w:val="20"/>
          <w:szCs w:val="20"/>
        </w:rPr>
        <w:t>Unidas (en adelante “Comité DESC</w:t>
      </w:r>
      <w:r w:rsidR="008D2EB8" w:rsidRPr="005A4DF1">
        <w:rPr>
          <w:rFonts w:ascii="Verdana" w:hAnsi="Verdana"/>
          <w:sz w:val="20"/>
          <w:szCs w:val="20"/>
        </w:rPr>
        <w:t>”)</w:t>
      </w:r>
      <w:r w:rsidR="008D2EB8" w:rsidRPr="005A4DF1">
        <w:rPr>
          <w:rFonts w:ascii="Verdana" w:hAnsi="Verdana" w:cs="Tahoma"/>
          <w:sz w:val="20"/>
          <w:szCs w:val="20"/>
        </w:rPr>
        <w:t xml:space="preserve"> recibir </w:t>
      </w:r>
      <w:r w:rsidR="008D2EB8" w:rsidRPr="005A4DF1">
        <w:rPr>
          <w:rFonts w:ascii="Verdana" w:hAnsi="Verdana" w:cs="Tahoma"/>
          <w:sz w:val="20"/>
          <w:szCs w:val="20"/>
        </w:rPr>
        <w:lastRenderedPageBreak/>
        <w:t xml:space="preserve">comunicaciones individuales. El Comité </w:t>
      </w:r>
      <w:r w:rsidR="00D5289F">
        <w:rPr>
          <w:rFonts w:ascii="Verdana" w:hAnsi="Verdana" w:cs="Tahoma"/>
          <w:sz w:val="20"/>
          <w:szCs w:val="20"/>
        </w:rPr>
        <w:t xml:space="preserve">DESC </w:t>
      </w:r>
      <w:r w:rsidR="008D2EB8" w:rsidRPr="005A4DF1">
        <w:rPr>
          <w:rFonts w:ascii="Verdana" w:hAnsi="Verdana" w:cs="Tahoma"/>
          <w:sz w:val="20"/>
          <w:szCs w:val="20"/>
        </w:rPr>
        <w:t xml:space="preserve">ya ha </w:t>
      </w:r>
      <w:r w:rsidR="00AE28C0">
        <w:rPr>
          <w:rFonts w:ascii="Verdana" w:hAnsi="Verdana" w:cs="Tahoma"/>
          <w:sz w:val="20"/>
          <w:szCs w:val="20"/>
        </w:rPr>
        <w:t>ejercido esta función, pronunciá</w:t>
      </w:r>
      <w:r w:rsidR="008D2EB8" w:rsidRPr="005A4DF1">
        <w:rPr>
          <w:rFonts w:ascii="Verdana" w:hAnsi="Verdana" w:cs="Tahoma"/>
          <w:sz w:val="20"/>
          <w:szCs w:val="20"/>
        </w:rPr>
        <w:t xml:space="preserve">ndose en diversas ocasiones; entre ellas, ha determinado violaciones al </w:t>
      </w:r>
      <w:r w:rsidR="008D2EB8" w:rsidRPr="005A4DF1">
        <w:rPr>
          <w:rFonts w:ascii="Verdana" w:hAnsi="Verdana" w:cs="Tahoma"/>
          <w:i/>
          <w:sz w:val="20"/>
          <w:szCs w:val="20"/>
        </w:rPr>
        <w:t>derecho a la vivienda</w:t>
      </w:r>
      <w:r w:rsidR="008D2EB8" w:rsidRPr="005A4DF1">
        <w:rPr>
          <w:rStyle w:val="FootnoteReference"/>
          <w:rFonts w:ascii="Verdana" w:hAnsi="Verdana"/>
          <w:sz w:val="20"/>
          <w:szCs w:val="20"/>
        </w:rPr>
        <w:footnoteReference w:id="33"/>
      </w:r>
      <w:r w:rsidR="008D2EB8" w:rsidRPr="005A4DF1">
        <w:rPr>
          <w:rFonts w:ascii="Verdana" w:hAnsi="Verdana" w:cs="Tahoma"/>
          <w:sz w:val="20"/>
          <w:szCs w:val="20"/>
        </w:rPr>
        <w:t xml:space="preserve">. </w:t>
      </w:r>
    </w:p>
    <w:p w14:paraId="0C5D58EB" w14:textId="77777777" w:rsidR="008D2EB8" w:rsidRPr="005A4DF1" w:rsidRDefault="008D2EB8" w:rsidP="00454C7F">
      <w:pPr>
        <w:pStyle w:val="ListParagraph"/>
        <w:ind w:left="0"/>
        <w:contextualSpacing w:val="0"/>
        <w:jc w:val="both"/>
        <w:rPr>
          <w:rFonts w:ascii="Verdana" w:hAnsi="Verdana" w:cs="Tahoma"/>
          <w:sz w:val="20"/>
          <w:szCs w:val="20"/>
        </w:rPr>
      </w:pPr>
    </w:p>
    <w:p w14:paraId="663A24B7" w14:textId="7428B370" w:rsidR="0068364A" w:rsidRPr="005A4DF1" w:rsidRDefault="00E05E9E" w:rsidP="00454C7F">
      <w:pPr>
        <w:pStyle w:val="ListParagraph"/>
        <w:ind w:left="0"/>
        <w:contextualSpacing w:val="0"/>
        <w:jc w:val="both"/>
        <w:rPr>
          <w:rFonts w:ascii="Verdana" w:hAnsi="Verdana"/>
          <w:sz w:val="20"/>
          <w:szCs w:val="20"/>
        </w:rPr>
      </w:pPr>
      <w:r w:rsidRPr="005A4DF1">
        <w:rPr>
          <w:rFonts w:ascii="Verdana" w:hAnsi="Verdana" w:cs="Tahoma"/>
          <w:sz w:val="20"/>
          <w:szCs w:val="20"/>
        </w:rPr>
        <w:t>34</w:t>
      </w:r>
      <w:r w:rsidR="008D2EB8" w:rsidRPr="005A4DF1">
        <w:rPr>
          <w:rFonts w:ascii="Verdana" w:hAnsi="Verdana" w:cs="Tahoma"/>
          <w:sz w:val="20"/>
          <w:szCs w:val="20"/>
        </w:rPr>
        <w:t>.</w:t>
      </w:r>
      <w:r w:rsidR="008D2EB8" w:rsidRPr="005A4DF1">
        <w:rPr>
          <w:rFonts w:ascii="Verdana" w:hAnsi="Verdana" w:cs="Tahoma"/>
          <w:sz w:val="20"/>
          <w:szCs w:val="20"/>
        </w:rPr>
        <w:tab/>
        <w:t xml:space="preserve">Por otra parte, en el ámbito </w:t>
      </w:r>
      <w:r w:rsidR="0068364A" w:rsidRPr="005A4DF1">
        <w:rPr>
          <w:rFonts w:ascii="Verdana" w:hAnsi="Verdana" w:cs="Tahoma"/>
          <w:sz w:val="20"/>
          <w:szCs w:val="20"/>
        </w:rPr>
        <w:t>de nuestra región,</w:t>
      </w:r>
      <w:r w:rsidR="008D2EB8" w:rsidRPr="005A4DF1">
        <w:rPr>
          <w:rFonts w:ascii="Verdana" w:hAnsi="Verdana" w:cs="Tahoma"/>
          <w:sz w:val="20"/>
          <w:szCs w:val="20"/>
        </w:rPr>
        <w:t xml:space="preserve"> se ha adoptado, el 11 de septiembre de 2001, la “Carta Democrática </w:t>
      </w:r>
      <w:r w:rsidR="00D5289F">
        <w:rPr>
          <w:rFonts w:ascii="Verdana" w:hAnsi="Verdana" w:cs="Tahoma"/>
          <w:sz w:val="20"/>
          <w:szCs w:val="20"/>
        </w:rPr>
        <w:t>Interamericana</w:t>
      </w:r>
      <w:r w:rsidR="008D2EB8" w:rsidRPr="005A4DF1">
        <w:rPr>
          <w:rFonts w:ascii="Verdana" w:hAnsi="Verdana" w:cs="Tahoma"/>
          <w:sz w:val="20"/>
          <w:szCs w:val="20"/>
        </w:rPr>
        <w:t>”, que en su artículo 4 afirma como uno de los</w:t>
      </w:r>
      <w:r w:rsidR="0068364A" w:rsidRPr="005A4DF1">
        <w:rPr>
          <w:rFonts w:ascii="Verdana" w:hAnsi="Verdana" w:cs="Tahoma"/>
          <w:sz w:val="20"/>
          <w:szCs w:val="20"/>
        </w:rPr>
        <w:t xml:space="preserve"> </w:t>
      </w:r>
      <w:r w:rsidR="008D2EB8" w:rsidRPr="005A4DF1">
        <w:rPr>
          <w:rFonts w:ascii="Verdana" w:hAnsi="Verdana" w:cs="Tahoma"/>
          <w:sz w:val="20"/>
          <w:szCs w:val="20"/>
        </w:rPr>
        <w:t>“</w:t>
      </w:r>
      <w:r w:rsidR="008D2EB8" w:rsidRPr="005A4DF1">
        <w:rPr>
          <w:rFonts w:ascii="Verdana" w:hAnsi="Verdana"/>
          <w:sz w:val="20"/>
          <w:szCs w:val="20"/>
        </w:rPr>
        <w:t>componentes fundamentales del ejercicio de la democracia […] el respeto por los derechos sociales”; luego, en su artículo 7, establece que “[l]a democracia es indispensable para el ejercicio efectivo de las libertades fundamentales y los derechos humanos, en su carácter universal, indivisible e interdependiente, consagrados en las respectivas constituciones de los Estados y en los instrumentos interamericanos e inter</w:t>
      </w:r>
      <w:r w:rsidR="00AE28C0">
        <w:rPr>
          <w:rFonts w:ascii="Verdana" w:hAnsi="Verdana"/>
          <w:sz w:val="20"/>
          <w:szCs w:val="20"/>
        </w:rPr>
        <w:t>nacionales de derechos humanos”; y</w:t>
      </w:r>
      <w:r w:rsidR="008D2EB8" w:rsidRPr="005A4DF1">
        <w:rPr>
          <w:rFonts w:ascii="Verdana" w:hAnsi="Verdana"/>
          <w:sz w:val="20"/>
          <w:szCs w:val="20"/>
        </w:rPr>
        <w:t xml:space="preserve"> en su artículo 13 afirma que “[l]a promoción y observancia de los derechos económicos, sociales y culturales son consustanciales al desarrollo integral, al crecimiento económico con equidad y a la consolidación de la democracia en los Estados del Hemisferio”. </w:t>
      </w:r>
    </w:p>
    <w:p w14:paraId="000DE551" w14:textId="77777777" w:rsidR="0068364A" w:rsidRPr="005A4DF1" w:rsidRDefault="0068364A" w:rsidP="00454C7F">
      <w:pPr>
        <w:pStyle w:val="ListParagraph"/>
        <w:ind w:left="0"/>
        <w:contextualSpacing w:val="0"/>
        <w:jc w:val="both"/>
        <w:rPr>
          <w:rFonts w:ascii="Verdana" w:hAnsi="Verdana"/>
          <w:sz w:val="20"/>
          <w:szCs w:val="20"/>
        </w:rPr>
      </w:pPr>
    </w:p>
    <w:p w14:paraId="7428EED5" w14:textId="5878BE81" w:rsidR="008D2EB8" w:rsidRDefault="00E05E9E" w:rsidP="00454C7F">
      <w:pPr>
        <w:pStyle w:val="ListParagraph"/>
        <w:ind w:left="0"/>
        <w:contextualSpacing w:val="0"/>
        <w:jc w:val="both"/>
        <w:rPr>
          <w:rFonts w:ascii="Verdana" w:hAnsi="Verdana"/>
          <w:sz w:val="20"/>
          <w:szCs w:val="20"/>
        </w:rPr>
      </w:pPr>
      <w:r w:rsidRPr="005A4DF1">
        <w:rPr>
          <w:rFonts w:ascii="Verdana" w:hAnsi="Verdana"/>
          <w:sz w:val="20"/>
          <w:szCs w:val="20"/>
        </w:rPr>
        <w:t>35</w:t>
      </w:r>
      <w:r w:rsidR="0068364A" w:rsidRPr="005A4DF1">
        <w:rPr>
          <w:rFonts w:ascii="Verdana" w:hAnsi="Verdana"/>
          <w:sz w:val="20"/>
          <w:szCs w:val="20"/>
        </w:rPr>
        <w:t xml:space="preserve">. </w:t>
      </w:r>
      <w:r w:rsidR="0068364A" w:rsidRPr="005A4DF1">
        <w:rPr>
          <w:rFonts w:ascii="Verdana" w:hAnsi="Verdana"/>
          <w:sz w:val="20"/>
          <w:szCs w:val="20"/>
        </w:rPr>
        <w:tab/>
        <w:t>A</w:t>
      </w:r>
      <w:r w:rsidR="008D2EB8" w:rsidRPr="005A4DF1">
        <w:rPr>
          <w:rFonts w:ascii="Verdana" w:hAnsi="Verdana"/>
          <w:sz w:val="20"/>
          <w:szCs w:val="20"/>
        </w:rPr>
        <w:t>corde a tales conceptos, también se adoptó el 20 de septiembre de 2012, la “Carta Social de las Américas”, que entre sus disposiciones, indica</w:t>
      </w:r>
      <w:r w:rsidR="00D5289F">
        <w:rPr>
          <w:rFonts w:ascii="Verdana" w:hAnsi="Verdana"/>
          <w:sz w:val="20"/>
          <w:szCs w:val="20"/>
        </w:rPr>
        <w:t xml:space="preserve"> que</w:t>
      </w:r>
      <w:r w:rsidR="008D2EB8" w:rsidRPr="005A4DF1">
        <w:rPr>
          <w:rFonts w:ascii="Verdana" w:hAnsi="Verdana"/>
          <w:sz w:val="20"/>
          <w:szCs w:val="20"/>
        </w:rPr>
        <w:t>: “[l]os Estados Miembros harán esfuerzos en el plano nacional e internacional, según sea apropiado, basados en el respeto por los derechos humanos y el Estado de derecho, dentro del marco de las instituciones democráticas, para eliminar los obstáculos al desarrollo con miras a lograr la plena vigencia de los derechos civiles, políticos, económicos, sociales y culturales”</w:t>
      </w:r>
      <w:r w:rsidR="0068364A" w:rsidRPr="005A4DF1">
        <w:rPr>
          <w:rStyle w:val="FootnoteReference"/>
          <w:rFonts w:ascii="Verdana" w:hAnsi="Verdana"/>
          <w:sz w:val="20"/>
          <w:szCs w:val="20"/>
        </w:rPr>
        <w:footnoteReference w:id="34"/>
      </w:r>
      <w:r w:rsidR="008D2EB8" w:rsidRPr="005A4DF1">
        <w:rPr>
          <w:rFonts w:ascii="Verdana" w:hAnsi="Verdana"/>
          <w:sz w:val="20"/>
          <w:szCs w:val="20"/>
        </w:rPr>
        <w:t xml:space="preserve">. </w:t>
      </w:r>
    </w:p>
    <w:p w14:paraId="53311539" w14:textId="77777777" w:rsidR="00E153BD" w:rsidRDefault="00E153BD" w:rsidP="00454C7F">
      <w:pPr>
        <w:pStyle w:val="ListParagraph"/>
        <w:ind w:left="0"/>
        <w:contextualSpacing w:val="0"/>
        <w:jc w:val="both"/>
        <w:rPr>
          <w:rFonts w:ascii="Verdana" w:hAnsi="Verdana"/>
          <w:sz w:val="20"/>
          <w:szCs w:val="20"/>
        </w:rPr>
      </w:pPr>
    </w:p>
    <w:p w14:paraId="73497970" w14:textId="43E617B8" w:rsidR="00BC7FDB" w:rsidRPr="00BC7FDB" w:rsidRDefault="00E153BD" w:rsidP="00BC7FDB">
      <w:pPr>
        <w:pStyle w:val="ListParagraph"/>
        <w:ind w:left="0"/>
        <w:contextualSpacing w:val="0"/>
        <w:jc w:val="both"/>
        <w:rPr>
          <w:rFonts w:ascii="Verdana" w:hAnsi="Verdana"/>
          <w:sz w:val="20"/>
          <w:szCs w:val="20"/>
        </w:rPr>
      </w:pPr>
      <w:r w:rsidRPr="00BC7FDB">
        <w:rPr>
          <w:rFonts w:ascii="Verdana" w:hAnsi="Verdana"/>
          <w:sz w:val="20"/>
          <w:szCs w:val="20"/>
        </w:rPr>
        <w:t xml:space="preserve">36. </w:t>
      </w:r>
      <w:r w:rsidRPr="00BC7FDB">
        <w:rPr>
          <w:rFonts w:ascii="Verdana" w:hAnsi="Verdana"/>
          <w:sz w:val="20"/>
          <w:szCs w:val="20"/>
        </w:rPr>
        <w:tab/>
        <w:t xml:space="preserve">Asimismo, </w:t>
      </w:r>
      <w:r w:rsidR="00BC7FDB" w:rsidRPr="00BC7FDB">
        <w:rPr>
          <w:rFonts w:ascii="Verdana" w:hAnsi="Verdana"/>
          <w:sz w:val="20"/>
          <w:szCs w:val="20"/>
          <w:lang w:val="es-ES"/>
        </w:rPr>
        <w:t xml:space="preserve">la reciente </w:t>
      </w:r>
      <w:r w:rsidR="00BC7FDB" w:rsidRPr="00BC7FDB">
        <w:rPr>
          <w:rFonts w:ascii="Verdana" w:hAnsi="Verdana"/>
          <w:sz w:val="20"/>
          <w:szCs w:val="20"/>
        </w:rPr>
        <w:t xml:space="preserve">Convención Interamericana sobre la Protección de los Derechos Humanos de las Personas Mayores, </w:t>
      </w:r>
      <w:r w:rsidR="008F05BB">
        <w:rPr>
          <w:rFonts w:ascii="Verdana" w:hAnsi="Verdana"/>
          <w:sz w:val="20"/>
          <w:szCs w:val="20"/>
        </w:rPr>
        <w:t>aprobada el 15 de junio de 2015 y pendiente de entrar en vigor</w:t>
      </w:r>
      <w:r w:rsidR="008F05BB">
        <w:rPr>
          <w:rStyle w:val="FootnoteReference"/>
          <w:rFonts w:ascii="Verdana" w:hAnsi="Verdana"/>
          <w:sz w:val="20"/>
          <w:szCs w:val="20"/>
        </w:rPr>
        <w:footnoteReference w:id="35"/>
      </w:r>
      <w:r w:rsidR="008F05BB">
        <w:rPr>
          <w:rFonts w:ascii="Verdana" w:hAnsi="Verdana"/>
          <w:sz w:val="20"/>
          <w:szCs w:val="20"/>
        </w:rPr>
        <w:t>,</w:t>
      </w:r>
      <w:r w:rsidR="00BC7FDB">
        <w:rPr>
          <w:rFonts w:ascii="Verdana" w:hAnsi="Verdana"/>
          <w:sz w:val="20"/>
          <w:szCs w:val="20"/>
        </w:rPr>
        <w:t xml:space="preserve"> </w:t>
      </w:r>
      <w:r w:rsidR="00BC7FDB" w:rsidRPr="00BC7FDB">
        <w:rPr>
          <w:rFonts w:ascii="Verdana" w:hAnsi="Verdana"/>
          <w:sz w:val="20"/>
          <w:szCs w:val="20"/>
        </w:rPr>
        <w:t>dispone la posibilidad de que opere el sistema de peticiones individuales en relación con los derechos previstos en dicha Convención, los cuales incluyen, entre otros, el derecho a la seguridad social (artículo 17), derecho al trabajo (artículo 18), derecho a la salud (artículo 19), y derecho a la vivienda (artículo 24)</w:t>
      </w:r>
      <w:r w:rsidR="00BC7FDB" w:rsidRPr="00BC7FDB">
        <w:rPr>
          <w:rStyle w:val="FootnoteReference"/>
          <w:rFonts w:ascii="Verdana" w:hAnsi="Verdana"/>
          <w:sz w:val="20"/>
          <w:szCs w:val="20"/>
        </w:rPr>
        <w:footnoteReference w:id="36"/>
      </w:r>
      <w:r w:rsidR="008F05BB">
        <w:rPr>
          <w:rFonts w:ascii="Verdana" w:hAnsi="Verdana"/>
          <w:sz w:val="20"/>
          <w:szCs w:val="20"/>
        </w:rPr>
        <w:t xml:space="preserve">. </w:t>
      </w:r>
      <w:r w:rsidR="00BC7FDB" w:rsidRPr="00BC7FDB">
        <w:rPr>
          <w:rFonts w:ascii="Verdana" w:hAnsi="Verdana"/>
          <w:sz w:val="20"/>
          <w:szCs w:val="20"/>
        </w:rPr>
        <w:t xml:space="preserve">Como puede observarse, este paso adoptado por varios Estados Parte en la OEA </w:t>
      </w:r>
      <w:r w:rsidR="00BC7FDB" w:rsidRPr="00BC7FDB">
        <w:rPr>
          <w:rFonts w:ascii="Verdana" w:hAnsi="Verdana"/>
          <w:sz w:val="20"/>
          <w:szCs w:val="20"/>
        </w:rPr>
        <w:lastRenderedPageBreak/>
        <w:t xml:space="preserve">evidencia una tendencia cada vez mayoritaria hacia la plena </w:t>
      </w:r>
      <w:proofErr w:type="spellStart"/>
      <w:r w:rsidR="00BC7FDB" w:rsidRPr="00BC7FDB">
        <w:rPr>
          <w:rFonts w:ascii="Verdana" w:hAnsi="Verdana"/>
          <w:sz w:val="20"/>
          <w:szCs w:val="20"/>
        </w:rPr>
        <w:t>justiciabilidad</w:t>
      </w:r>
      <w:proofErr w:type="spellEnd"/>
      <w:r w:rsidR="00BC7FDB" w:rsidRPr="00BC7FDB">
        <w:rPr>
          <w:rFonts w:ascii="Verdana" w:hAnsi="Verdana"/>
          <w:sz w:val="20"/>
          <w:szCs w:val="20"/>
        </w:rPr>
        <w:t xml:space="preserve"> de los derechos económicos, sociales y culturales. </w:t>
      </w:r>
    </w:p>
    <w:p w14:paraId="615F5BCF" w14:textId="77777777" w:rsidR="008D2EB8" w:rsidRPr="005A4DF1" w:rsidRDefault="008D2EB8" w:rsidP="00454C7F">
      <w:pPr>
        <w:pStyle w:val="ListParagraph"/>
        <w:ind w:left="0"/>
        <w:contextualSpacing w:val="0"/>
        <w:jc w:val="both"/>
        <w:rPr>
          <w:rFonts w:ascii="Verdana" w:hAnsi="Verdana"/>
          <w:sz w:val="20"/>
          <w:szCs w:val="20"/>
        </w:rPr>
      </w:pPr>
    </w:p>
    <w:p w14:paraId="22520CE9" w14:textId="6E5333AB" w:rsidR="008D2EB8" w:rsidRPr="005A4DF1" w:rsidRDefault="00BC7FDB" w:rsidP="00454C7F">
      <w:pPr>
        <w:pStyle w:val="ListParagraph"/>
        <w:tabs>
          <w:tab w:val="left" w:pos="709"/>
          <w:tab w:val="left" w:pos="6728"/>
        </w:tabs>
        <w:ind w:left="0"/>
        <w:contextualSpacing w:val="0"/>
        <w:jc w:val="both"/>
        <w:rPr>
          <w:rFonts w:ascii="Verdana" w:hAnsi="Verdana" w:cs="Tahoma"/>
          <w:sz w:val="20"/>
          <w:szCs w:val="20"/>
        </w:rPr>
      </w:pPr>
      <w:r>
        <w:rPr>
          <w:rFonts w:ascii="Verdana" w:hAnsi="Verdana" w:cs="Tahoma"/>
          <w:sz w:val="20"/>
          <w:szCs w:val="20"/>
        </w:rPr>
        <w:t>37</w:t>
      </w:r>
      <w:r w:rsidR="008D2EB8" w:rsidRPr="005A4DF1">
        <w:rPr>
          <w:rFonts w:ascii="Verdana" w:hAnsi="Verdana" w:cs="Tahoma"/>
          <w:sz w:val="20"/>
          <w:szCs w:val="20"/>
        </w:rPr>
        <w:t>.</w:t>
      </w:r>
      <w:r w:rsidR="0068364A" w:rsidRPr="005A4DF1">
        <w:rPr>
          <w:rFonts w:ascii="Verdana" w:hAnsi="Verdana" w:cs="Tahoma"/>
          <w:sz w:val="20"/>
          <w:szCs w:val="20"/>
        </w:rPr>
        <w:tab/>
      </w:r>
      <w:r w:rsidR="008D2EB8" w:rsidRPr="005A4DF1">
        <w:rPr>
          <w:rFonts w:ascii="Verdana" w:hAnsi="Verdana" w:cs="Tahoma"/>
          <w:sz w:val="20"/>
          <w:szCs w:val="20"/>
        </w:rPr>
        <w:t xml:space="preserve"> Lo expuesto denota cómo los Estados americanos han reafirmado la convicción sobre la igual jerarquía, importancia e interdependencia de los distintos derechos, así como la necesidad de que, en el marco del Estado de Derecho, todos ellos sean protegidos y desarrollados, siendo ello algo central para la consolidación de la democracia</w:t>
      </w:r>
      <w:r w:rsidR="00AE28C0">
        <w:rPr>
          <w:rFonts w:ascii="Verdana" w:hAnsi="Verdana" w:cs="Tahoma"/>
          <w:sz w:val="20"/>
          <w:szCs w:val="20"/>
        </w:rPr>
        <w:t xml:space="preserve"> sustantiva</w:t>
      </w:r>
      <w:r w:rsidR="008D2EB8" w:rsidRPr="005A4DF1">
        <w:rPr>
          <w:rFonts w:ascii="Verdana" w:hAnsi="Verdana" w:cs="Tahoma"/>
          <w:sz w:val="20"/>
          <w:szCs w:val="20"/>
        </w:rPr>
        <w:t xml:space="preserve">. </w:t>
      </w:r>
    </w:p>
    <w:p w14:paraId="40C61206" w14:textId="77777777" w:rsidR="008D2EB8" w:rsidRPr="005A4DF1" w:rsidRDefault="008D2EB8" w:rsidP="00454C7F">
      <w:pPr>
        <w:pStyle w:val="ListParagraph"/>
        <w:ind w:left="0"/>
        <w:contextualSpacing w:val="0"/>
        <w:jc w:val="both"/>
        <w:rPr>
          <w:rFonts w:ascii="Verdana" w:hAnsi="Verdana" w:cs="Tahoma"/>
          <w:sz w:val="20"/>
          <w:szCs w:val="20"/>
        </w:rPr>
      </w:pPr>
    </w:p>
    <w:p w14:paraId="09AE3FAF" w14:textId="4EE0A11A" w:rsidR="008D2EB8" w:rsidRPr="005A4DF1" w:rsidRDefault="00BC7FDB" w:rsidP="00454C7F">
      <w:pPr>
        <w:pStyle w:val="ListParagraph"/>
        <w:ind w:left="0"/>
        <w:contextualSpacing w:val="0"/>
        <w:jc w:val="both"/>
        <w:rPr>
          <w:rFonts w:ascii="Verdana" w:hAnsi="Verdana" w:cs="Tahoma"/>
          <w:sz w:val="20"/>
          <w:szCs w:val="20"/>
        </w:rPr>
      </w:pPr>
      <w:r>
        <w:rPr>
          <w:rFonts w:ascii="Verdana" w:hAnsi="Verdana" w:cs="Tahoma"/>
          <w:sz w:val="20"/>
          <w:szCs w:val="20"/>
        </w:rPr>
        <w:t>38</w:t>
      </w:r>
      <w:r w:rsidR="0068364A" w:rsidRPr="005A4DF1">
        <w:rPr>
          <w:rFonts w:ascii="Verdana" w:hAnsi="Verdana" w:cs="Tahoma"/>
          <w:sz w:val="20"/>
          <w:szCs w:val="20"/>
        </w:rPr>
        <w:t>.</w:t>
      </w:r>
      <w:r w:rsidR="0068364A" w:rsidRPr="005A4DF1">
        <w:rPr>
          <w:rFonts w:ascii="Verdana" w:hAnsi="Verdana" w:cs="Tahoma"/>
          <w:sz w:val="20"/>
          <w:szCs w:val="20"/>
        </w:rPr>
        <w:tab/>
        <w:t>Todo lo anterior permite advertir</w:t>
      </w:r>
      <w:r w:rsidR="008D2EB8" w:rsidRPr="005A4DF1">
        <w:rPr>
          <w:rFonts w:ascii="Verdana" w:hAnsi="Verdana" w:cs="Tahoma"/>
          <w:sz w:val="20"/>
          <w:szCs w:val="20"/>
        </w:rPr>
        <w:t xml:space="preserve"> que en el ámbito de la comunidad internacional se ha estado avanzando en la protección de los derechos sociales, así como en la cons</w:t>
      </w:r>
      <w:r w:rsidR="0068364A" w:rsidRPr="005A4DF1">
        <w:rPr>
          <w:rFonts w:ascii="Verdana" w:hAnsi="Verdana" w:cs="Tahoma"/>
          <w:sz w:val="20"/>
          <w:szCs w:val="20"/>
        </w:rPr>
        <w:t>ideración de su relevancia en té</w:t>
      </w:r>
      <w:r w:rsidR="008D2EB8" w:rsidRPr="005A4DF1">
        <w:rPr>
          <w:rFonts w:ascii="Verdana" w:hAnsi="Verdana" w:cs="Tahoma"/>
          <w:sz w:val="20"/>
          <w:szCs w:val="20"/>
        </w:rPr>
        <w:t>rminos iguales a la que asiste a los derechos civiles y políticos. Por ello la Corte</w:t>
      </w:r>
      <w:r w:rsidR="0068364A" w:rsidRPr="005A4DF1">
        <w:rPr>
          <w:rFonts w:ascii="Verdana" w:hAnsi="Verdana" w:cs="Tahoma"/>
          <w:sz w:val="20"/>
          <w:szCs w:val="20"/>
        </w:rPr>
        <w:t xml:space="preserve"> IDH</w:t>
      </w:r>
      <w:r w:rsidR="008D2EB8" w:rsidRPr="005A4DF1">
        <w:rPr>
          <w:rFonts w:ascii="Verdana" w:hAnsi="Verdana" w:cs="Tahoma"/>
          <w:sz w:val="20"/>
          <w:szCs w:val="20"/>
        </w:rPr>
        <w:t>, al ejercer su c</w:t>
      </w:r>
      <w:r w:rsidR="00AE28C0">
        <w:rPr>
          <w:rFonts w:ascii="Verdana" w:hAnsi="Verdana" w:cs="Tahoma"/>
          <w:sz w:val="20"/>
          <w:szCs w:val="20"/>
        </w:rPr>
        <w:t xml:space="preserve">ompetencia en relación con los </w:t>
      </w:r>
      <w:r w:rsidR="008D2EB8" w:rsidRPr="005A4DF1">
        <w:rPr>
          <w:rFonts w:ascii="Verdana" w:hAnsi="Verdana" w:cs="Tahoma"/>
          <w:sz w:val="20"/>
          <w:szCs w:val="20"/>
        </w:rPr>
        <w:t xml:space="preserve">derechos sociales, no </w:t>
      </w:r>
      <w:r w:rsidR="0068364A" w:rsidRPr="005A4DF1">
        <w:rPr>
          <w:rFonts w:ascii="Verdana" w:hAnsi="Verdana" w:cs="Tahoma"/>
          <w:sz w:val="20"/>
          <w:szCs w:val="20"/>
        </w:rPr>
        <w:t xml:space="preserve">puede </w:t>
      </w:r>
      <w:r w:rsidR="008D2EB8" w:rsidRPr="005A4DF1">
        <w:rPr>
          <w:rFonts w:ascii="Verdana" w:hAnsi="Verdana" w:cs="Tahoma"/>
          <w:sz w:val="20"/>
          <w:szCs w:val="20"/>
        </w:rPr>
        <w:t>realiza</w:t>
      </w:r>
      <w:r w:rsidR="0068364A" w:rsidRPr="005A4DF1">
        <w:rPr>
          <w:rFonts w:ascii="Verdana" w:hAnsi="Verdana" w:cs="Tahoma"/>
          <w:sz w:val="20"/>
          <w:szCs w:val="20"/>
        </w:rPr>
        <w:t>r</w:t>
      </w:r>
      <w:r w:rsidR="008D2EB8" w:rsidRPr="005A4DF1">
        <w:rPr>
          <w:rFonts w:ascii="Verdana" w:hAnsi="Verdana" w:cs="Tahoma"/>
          <w:sz w:val="20"/>
          <w:szCs w:val="20"/>
        </w:rPr>
        <w:t xml:space="preserve"> una acción exploratoria o aislada, que pudier</w:t>
      </w:r>
      <w:r w:rsidR="00143D75" w:rsidRPr="005A4DF1">
        <w:rPr>
          <w:rFonts w:ascii="Verdana" w:hAnsi="Verdana" w:cs="Tahoma"/>
          <w:sz w:val="20"/>
          <w:szCs w:val="20"/>
        </w:rPr>
        <w:t>a</w:t>
      </w:r>
      <w:r w:rsidR="008D2EB8" w:rsidRPr="005A4DF1">
        <w:rPr>
          <w:rFonts w:ascii="Verdana" w:hAnsi="Verdana" w:cs="Tahoma"/>
          <w:sz w:val="20"/>
          <w:szCs w:val="20"/>
        </w:rPr>
        <w:t xml:space="preserve"> entenderse, en general, como descontextualizada de los avances y consensos actuales</w:t>
      </w:r>
      <w:r w:rsidR="00D5289F">
        <w:rPr>
          <w:rFonts w:ascii="Verdana" w:hAnsi="Verdana" w:cs="Tahoma"/>
          <w:sz w:val="20"/>
          <w:szCs w:val="20"/>
        </w:rPr>
        <w:t xml:space="preserve"> nacionales e internacionales</w:t>
      </w:r>
      <w:r w:rsidR="008D2EB8" w:rsidRPr="005A4DF1">
        <w:rPr>
          <w:rFonts w:ascii="Verdana" w:hAnsi="Verdana" w:cs="Tahoma"/>
          <w:sz w:val="20"/>
          <w:szCs w:val="20"/>
        </w:rPr>
        <w:t xml:space="preserve">. </w:t>
      </w:r>
    </w:p>
    <w:p w14:paraId="7CCDC555" w14:textId="77777777" w:rsidR="008D2EB8" w:rsidRPr="005A4DF1" w:rsidRDefault="008D2EB8" w:rsidP="00454C7F">
      <w:pPr>
        <w:pStyle w:val="ListParagraph"/>
        <w:ind w:left="0"/>
        <w:contextualSpacing w:val="0"/>
        <w:jc w:val="both"/>
        <w:rPr>
          <w:rFonts w:ascii="Verdana" w:hAnsi="Verdana" w:cs="Tahoma"/>
          <w:sz w:val="20"/>
          <w:szCs w:val="20"/>
        </w:rPr>
      </w:pPr>
    </w:p>
    <w:p w14:paraId="56E7E670" w14:textId="4961DE9F" w:rsidR="00143D75" w:rsidRPr="005A4DF1" w:rsidRDefault="00BC7FDB" w:rsidP="00454C7F">
      <w:pPr>
        <w:pStyle w:val="ListParagraph"/>
        <w:ind w:left="0"/>
        <w:contextualSpacing w:val="0"/>
        <w:jc w:val="both"/>
        <w:rPr>
          <w:rFonts w:ascii="Verdana" w:hAnsi="Verdana" w:cs="Tahoma"/>
          <w:sz w:val="20"/>
          <w:szCs w:val="20"/>
        </w:rPr>
      </w:pPr>
      <w:r>
        <w:rPr>
          <w:rFonts w:ascii="Verdana" w:hAnsi="Verdana" w:cs="Tahoma"/>
          <w:sz w:val="20"/>
          <w:szCs w:val="20"/>
        </w:rPr>
        <w:t>39</w:t>
      </w:r>
      <w:r w:rsidR="008D2EB8" w:rsidRPr="005A4DF1">
        <w:rPr>
          <w:rFonts w:ascii="Verdana" w:hAnsi="Verdana" w:cs="Tahoma"/>
          <w:sz w:val="20"/>
          <w:szCs w:val="20"/>
        </w:rPr>
        <w:t xml:space="preserve">. </w:t>
      </w:r>
      <w:r w:rsidR="008D2EB8" w:rsidRPr="005A4DF1">
        <w:rPr>
          <w:rFonts w:ascii="Verdana" w:hAnsi="Verdana" w:cs="Tahoma"/>
          <w:sz w:val="20"/>
          <w:szCs w:val="20"/>
        </w:rPr>
        <w:tab/>
        <w:t>Entiendo, en definitiva, que la</w:t>
      </w:r>
      <w:r w:rsidR="00143D75" w:rsidRPr="005A4DF1">
        <w:rPr>
          <w:rFonts w:ascii="Verdana" w:hAnsi="Verdana" w:cs="Tahoma"/>
          <w:sz w:val="20"/>
          <w:szCs w:val="20"/>
        </w:rPr>
        <w:t xml:space="preserve"> mayor precisió</w:t>
      </w:r>
      <w:r w:rsidR="008D2EB8" w:rsidRPr="005A4DF1">
        <w:rPr>
          <w:rFonts w:ascii="Verdana" w:hAnsi="Verdana" w:cs="Tahoma"/>
          <w:sz w:val="20"/>
          <w:szCs w:val="20"/>
        </w:rPr>
        <w:t xml:space="preserve">n de la Corte </w:t>
      </w:r>
      <w:r w:rsidR="00143D75" w:rsidRPr="005A4DF1">
        <w:rPr>
          <w:rFonts w:ascii="Verdana" w:hAnsi="Verdana" w:cs="Tahoma"/>
          <w:sz w:val="20"/>
          <w:szCs w:val="20"/>
        </w:rPr>
        <w:t xml:space="preserve">IDH </w:t>
      </w:r>
      <w:r w:rsidR="008D2EB8" w:rsidRPr="005A4DF1">
        <w:rPr>
          <w:rFonts w:ascii="Verdana" w:hAnsi="Verdana" w:cs="Tahoma"/>
          <w:sz w:val="20"/>
          <w:szCs w:val="20"/>
        </w:rPr>
        <w:t>en cuanto a la determinación de obligaciones y deberes respecto de derechos sociales redundaría en un mejor servicio de justicia,</w:t>
      </w:r>
      <w:r w:rsidR="00143D75" w:rsidRPr="005A4DF1">
        <w:rPr>
          <w:rFonts w:ascii="Verdana" w:hAnsi="Verdana" w:cs="Tahoma"/>
          <w:sz w:val="20"/>
          <w:szCs w:val="20"/>
        </w:rPr>
        <w:t xml:space="preserve"> especialmente de justicia social,</w:t>
      </w:r>
      <w:r w:rsidR="008D2EB8" w:rsidRPr="005A4DF1">
        <w:rPr>
          <w:rFonts w:ascii="Verdana" w:hAnsi="Verdana" w:cs="Tahoma"/>
          <w:sz w:val="20"/>
          <w:szCs w:val="20"/>
        </w:rPr>
        <w:t xml:space="preserve"> más adaptado a las problemática</w:t>
      </w:r>
      <w:r w:rsidR="00143D75" w:rsidRPr="005A4DF1">
        <w:rPr>
          <w:rFonts w:ascii="Verdana" w:hAnsi="Verdana" w:cs="Tahoma"/>
          <w:sz w:val="20"/>
          <w:szCs w:val="20"/>
        </w:rPr>
        <w:t>s y avances jurídicos prese</w:t>
      </w:r>
      <w:r w:rsidR="00E05E9E" w:rsidRPr="005A4DF1">
        <w:rPr>
          <w:rFonts w:ascii="Verdana" w:hAnsi="Verdana" w:cs="Tahoma"/>
          <w:sz w:val="20"/>
          <w:szCs w:val="20"/>
        </w:rPr>
        <w:t>ntes en la región;</w:t>
      </w:r>
      <w:r w:rsidR="00143D75" w:rsidRPr="005A4DF1">
        <w:rPr>
          <w:rFonts w:ascii="Verdana" w:hAnsi="Verdana" w:cs="Tahoma"/>
          <w:sz w:val="20"/>
          <w:szCs w:val="20"/>
        </w:rPr>
        <w:t xml:space="preserve"> especialmente considerando las particularidades de la región latinoamericana que se caracteriza por </w:t>
      </w:r>
      <w:r w:rsidR="008A6A34">
        <w:rPr>
          <w:rFonts w:ascii="Verdana" w:hAnsi="Verdana" w:cs="Tahoma"/>
          <w:sz w:val="20"/>
          <w:szCs w:val="20"/>
        </w:rPr>
        <w:t>la desigualdad socioeconómica, con índices de pobreza preocupantes</w:t>
      </w:r>
      <w:r w:rsidR="00E34D24" w:rsidRPr="00891E58">
        <w:rPr>
          <w:rStyle w:val="FootnoteReference"/>
          <w:rFonts w:ascii="Verdana" w:hAnsi="Verdana" w:cs="Tahoma"/>
          <w:sz w:val="20"/>
          <w:szCs w:val="20"/>
        </w:rPr>
        <w:footnoteReference w:id="37"/>
      </w:r>
      <w:r w:rsidR="00143D75" w:rsidRPr="00891E58">
        <w:rPr>
          <w:rFonts w:ascii="Verdana" w:hAnsi="Verdana" w:cs="Tahoma"/>
          <w:sz w:val="20"/>
          <w:szCs w:val="20"/>
        </w:rPr>
        <w:t>.</w:t>
      </w:r>
    </w:p>
    <w:p w14:paraId="66C6D1B8" w14:textId="77777777" w:rsidR="00143D75" w:rsidRPr="005A4DF1" w:rsidRDefault="00143D75" w:rsidP="00454C7F">
      <w:pPr>
        <w:pStyle w:val="ListParagraph"/>
        <w:ind w:left="0"/>
        <w:contextualSpacing w:val="0"/>
        <w:jc w:val="both"/>
        <w:rPr>
          <w:rFonts w:ascii="Verdana" w:hAnsi="Verdana" w:cs="Tahoma"/>
          <w:sz w:val="20"/>
          <w:szCs w:val="20"/>
        </w:rPr>
      </w:pPr>
    </w:p>
    <w:p w14:paraId="31B0EB4D" w14:textId="33D6FB5C" w:rsidR="00143D75" w:rsidRPr="005A4DF1" w:rsidRDefault="00BC7FDB" w:rsidP="00454C7F">
      <w:pPr>
        <w:pStyle w:val="ListParagraph"/>
        <w:ind w:left="0"/>
        <w:contextualSpacing w:val="0"/>
        <w:jc w:val="both"/>
        <w:rPr>
          <w:rFonts w:ascii="Verdana" w:hAnsi="Verdana" w:cs="Tahoma"/>
          <w:sz w:val="20"/>
          <w:szCs w:val="20"/>
        </w:rPr>
      </w:pPr>
      <w:r>
        <w:rPr>
          <w:rFonts w:ascii="Verdana" w:hAnsi="Verdana" w:cs="Tahoma"/>
          <w:sz w:val="20"/>
          <w:szCs w:val="20"/>
        </w:rPr>
        <w:t>40</w:t>
      </w:r>
      <w:r w:rsidR="00143D75" w:rsidRPr="005A4DF1">
        <w:rPr>
          <w:rFonts w:ascii="Verdana" w:hAnsi="Verdana" w:cs="Tahoma"/>
          <w:sz w:val="20"/>
          <w:szCs w:val="20"/>
        </w:rPr>
        <w:t>.</w:t>
      </w:r>
      <w:r w:rsidR="008D2EB8" w:rsidRPr="005A4DF1">
        <w:rPr>
          <w:rFonts w:ascii="Verdana" w:hAnsi="Verdana" w:cs="Tahoma"/>
          <w:sz w:val="20"/>
          <w:szCs w:val="20"/>
        </w:rPr>
        <w:t xml:space="preserve"> </w:t>
      </w:r>
      <w:r w:rsidR="00143D75" w:rsidRPr="005A4DF1">
        <w:rPr>
          <w:rFonts w:ascii="Verdana" w:hAnsi="Verdana" w:cs="Tahoma"/>
          <w:sz w:val="20"/>
          <w:szCs w:val="20"/>
        </w:rPr>
        <w:t xml:space="preserve"> </w:t>
      </w:r>
      <w:r w:rsidR="00D5289F">
        <w:rPr>
          <w:rFonts w:ascii="Verdana" w:hAnsi="Verdana" w:cs="Tahoma"/>
          <w:sz w:val="20"/>
          <w:szCs w:val="20"/>
        </w:rPr>
        <w:t xml:space="preserve">De lo anteriormente expuesto, </w:t>
      </w:r>
      <w:r w:rsidR="008A6A34">
        <w:rPr>
          <w:rFonts w:ascii="Verdana" w:hAnsi="Verdana" w:cs="Tahoma"/>
          <w:sz w:val="20"/>
          <w:szCs w:val="20"/>
        </w:rPr>
        <w:t xml:space="preserve">se puede </w:t>
      </w:r>
      <w:r w:rsidR="00D5289F">
        <w:rPr>
          <w:rFonts w:ascii="Verdana" w:hAnsi="Verdana" w:cs="Tahoma"/>
          <w:sz w:val="20"/>
          <w:szCs w:val="20"/>
        </w:rPr>
        <w:t>afirmar que la Corte IDH tiene plena legitimidad</w:t>
      </w:r>
      <w:r w:rsidR="00143D75" w:rsidRPr="005A4DF1">
        <w:rPr>
          <w:rFonts w:ascii="Verdana" w:hAnsi="Verdana" w:cs="Tahoma"/>
          <w:sz w:val="20"/>
          <w:szCs w:val="20"/>
        </w:rPr>
        <w:t xml:space="preserve"> para pronunciarse sobre los derechos sociales, a través de una interpretación </w:t>
      </w:r>
      <w:r>
        <w:rPr>
          <w:rFonts w:ascii="Verdana" w:hAnsi="Verdana" w:cs="Tahoma"/>
          <w:sz w:val="20"/>
          <w:szCs w:val="20"/>
        </w:rPr>
        <w:t>convencional posible y</w:t>
      </w:r>
      <w:r w:rsidR="00143D75" w:rsidRPr="005A4DF1">
        <w:rPr>
          <w:rFonts w:ascii="Verdana" w:hAnsi="Verdana" w:cs="Tahoma"/>
          <w:sz w:val="20"/>
          <w:szCs w:val="20"/>
        </w:rPr>
        <w:t xml:space="preserve"> válida del artículo 26 de la Convención Americana, </w:t>
      </w:r>
      <w:r w:rsidR="009233E7">
        <w:rPr>
          <w:rFonts w:ascii="Verdana" w:hAnsi="Verdana" w:cs="Tahoma"/>
          <w:sz w:val="20"/>
          <w:szCs w:val="20"/>
        </w:rPr>
        <w:t>de acuerdo con los</w:t>
      </w:r>
      <w:r w:rsidR="00E05E9E" w:rsidRPr="005A4DF1">
        <w:rPr>
          <w:rFonts w:ascii="Verdana" w:hAnsi="Verdana" w:cs="Tahoma"/>
          <w:sz w:val="20"/>
          <w:szCs w:val="20"/>
        </w:rPr>
        <w:t xml:space="preserve"> tiempos actuales</w:t>
      </w:r>
      <w:r w:rsidR="009233E7">
        <w:rPr>
          <w:rFonts w:ascii="Verdana" w:hAnsi="Verdana" w:cs="Tahoma"/>
          <w:sz w:val="20"/>
          <w:szCs w:val="20"/>
        </w:rPr>
        <w:t xml:space="preserve"> y estado evolutivo del derecho internacional de los derechos humanos;</w:t>
      </w:r>
      <w:r w:rsidR="00E05E9E" w:rsidRPr="005A4DF1">
        <w:rPr>
          <w:rFonts w:ascii="Verdana" w:hAnsi="Verdana" w:cs="Tahoma"/>
          <w:sz w:val="20"/>
          <w:szCs w:val="20"/>
        </w:rPr>
        <w:t xml:space="preserve"> </w:t>
      </w:r>
      <w:r w:rsidR="00143D75" w:rsidRPr="005A4DF1">
        <w:rPr>
          <w:rFonts w:ascii="Verdana" w:hAnsi="Verdana" w:cs="Tahoma"/>
          <w:sz w:val="20"/>
          <w:szCs w:val="20"/>
        </w:rPr>
        <w:t xml:space="preserve">como de hecho ya </w:t>
      </w:r>
      <w:r w:rsidR="009233E7">
        <w:rPr>
          <w:rFonts w:ascii="Verdana" w:hAnsi="Verdana" w:cs="Tahoma"/>
          <w:sz w:val="20"/>
          <w:szCs w:val="20"/>
        </w:rPr>
        <w:t xml:space="preserve">lo realizó la Corte IDH </w:t>
      </w:r>
      <w:r w:rsidR="00AE28C0">
        <w:rPr>
          <w:rFonts w:ascii="Verdana" w:hAnsi="Verdana" w:cs="Tahoma"/>
          <w:sz w:val="20"/>
          <w:szCs w:val="20"/>
        </w:rPr>
        <w:t xml:space="preserve">en </w:t>
      </w:r>
      <w:r w:rsidR="00143D75" w:rsidRPr="005A4DF1">
        <w:rPr>
          <w:rFonts w:ascii="Verdana" w:hAnsi="Verdana" w:cs="Tahoma"/>
          <w:sz w:val="20"/>
          <w:szCs w:val="20"/>
        </w:rPr>
        <w:t xml:space="preserve">el </w:t>
      </w:r>
      <w:r w:rsidR="00143D75" w:rsidRPr="005A4DF1">
        <w:rPr>
          <w:rFonts w:ascii="Verdana" w:hAnsi="Verdana" w:cs="Tahoma"/>
          <w:i/>
          <w:sz w:val="20"/>
          <w:szCs w:val="20"/>
        </w:rPr>
        <w:t>Caso Acevedo Buendía</w:t>
      </w:r>
      <w:r w:rsidR="00143D75" w:rsidRPr="005A4DF1">
        <w:rPr>
          <w:rFonts w:ascii="Verdana" w:hAnsi="Verdana" w:cs="Tahoma"/>
          <w:sz w:val="20"/>
          <w:szCs w:val="20"/>
        </w:rPr>
        <w:t xml:space="preserve"> </w:t>
      </w:r>
      <w:r w:rsidR="00AE28C0">
        <w:rPr>
          <w:rFonts w:ascii="Verdana" w:hAnsi="Verdana" w:cs="Tahoma"/>
          <w:sz w:val="20"/>
          <w:szCs w:val="20"/>
        </w:rPr>
        <w:t xml:space="preserve">(2009), </w:t>
      </w:r>
      <w:r w:rsidR="00143D75" w:rsidRPr="005A4DF1">
        <w:rPr>
          <w:rFonts w:ascii="Verdana" w:hAnsi="Verdana" w:cs="Tahoma"/>
          <w:sz w:val="20"/>
          <w:szCs w:val="20"/>
        </w:rPr>
        <w:t xml:space="preserve">al reconocer expresamente que </w:t>
      </w:r>
      <w:r w:rsidR="00143D75" w:rsidRPr="005A4DF1">
        <w:rPr>
          <w:rFonts w:ascii="Verdana" w:hAnsi="Verdana"/>
          <w:sz w:val="20"/>
          <w:szCs w:val="20"/>
        </w:rPr>
        <w:t xml:space="preserve">“es competente para decidir si el Estado ha incurrido en una violación o incumplimiento </w:t>
      </w:r>
      <w:r w:rsidR="00143D75" w:rsidRPr="009233E7">
        <w:rPr>
          <w:rFonts w:ascii="Verdana" w:hAnsi="Verdana"/>
          <w:sz w:val="20"/>
          <w:szCs w:val="20"/>
          <w:u w:val="single"/>
        </w:rPr>
        <w:t>de alguno de los derechos reconocidos en la Convención, inclusive en lo concerniente al artículo 26 de la misma</w:t>
      </w:r>
      <w:r w:rsidR="00143D75" w:rsidRPr="005A4DF1">
        <w:rPr>
          <w:rFonts w:ascii="Verdana" w:hAnsi="Verdana"/>
          <w:sz w:val="20"/>
          <w:szCs w:val="20"/>
        </w:rPr>
        <w:t>”</w:t>
      </w:r>
      <w:r w:rsidR="00143D75" w:rsidRPr="005A4DF1">
        <w:rPr>
          <w:rStyle w:val="FootnoteReference"/>
          <w:rFonts w:ascii="Verdana" w:hAnsi="Verdana"/>
          <w:sz w:val="20"/>
          <w:szCs w:val="20"/>
        </w:rPr>
        <w:footnoteReference w:id="38"/>
      </w:r>
      <w:r w:rsidR="00143D75" w:rsidRPr="005A4DF1">
        <w:rPr>
          <w:rFonts w:ascii="Verdana" w:hAnsi="Verdana"/>
          <w:sz w:val="20"/>
          <w:szCs w:val="20"/>
        </w:rPr>
        <w:t>.</w:t>
      </w:r>
    </w:p>
    <w:p w14:paraId="6C50CBAD" w14:textId="77777777" w:rsidR="00187189" w:rsidRDefault="00187189" w:rsidP="00D5289F">
      <w:pPr>
        <w:pStyle w:val="Estilo4"/>
        <w:numPr>
          <w:ilvl w:val="0"/>
          <w:numId w:val="0"/>
        </w:numPr>
        <w:spacing w:after="0"/>
        <w:rPr>
          <w:rFonts w:ascii="Verdana" w:hAnsi="Verdana"/>
          <w:b/>
          <w:sz w:val="20"/>
          <w:szCs w:val="20"/>
        </w:rPr>
      </w:pPr>
    </w:p>
    <w:p w14:paraId="5347D7E9" w14:textId="77777777" w:rsidR="00C066E4" w:rsidRDefault="00C066E4" w:rsidP="00D5289F">
      <w:pPr>
        <w:pStyle w:val="Estilo4"/>
        <w:numPr>
          <w:ilvl w:val="0"/>
          <w:numId w:val="0"/>
        </w:numPr>
        <w:spacing w:after="0"/>
        <w:rPr>
          <w:rFonts w:ascii="Verdana" w:hAnsi="Verdana"/>
          <w:b/>
          <w:sz w:val="20"/>
          <w:szCs w:val="20"/>
        </w:rPr>
      </w:pPr>
    </w:p>
    <w:p w14:paraId="5C555292" w14:textId="0DC62138" w:rsidR="008D2EB8" w:rsidRPr="00187189" w:rsidRDefault="00D5289F" w:rsidP="006E1E95">
      <w:pPr>
        <w:pStyle w:val="Estilo4"/>
        <w:numPr>
          <w:ilvl w:val="0"/>
          <w:numId w:val="0"/>
        </w:numPr>
        <w:spacing w:after="0"/>
        <w:jc w:val="center"/>
        <w:rPr>
          <w:rFonts w:ascii="Verdana" w:hAnsi="Verdana"/>
          <w:bCs/>
          <w:caps/>
          <w:sz w:val="20"/>
          <w:szCs w:val="20"/>
          <w:lang w:val="es-ES_tradnl"/>
        </w:rPr>
      </w:pPr>
      <w:r w:rsidRPr="00187189">
        <w:rPr>
          <w:rFonts w:ascii="Verdana" w:hAnsi="Verdana"/>
          <w:bCs/>
          <w:caps/>
          <w:sz w:val="20"/>
          <w:szCs w:val="20"/>
        </w:rPr>
        <w:t xml:space="preserve">II. </w:t>
      </w:r>
      <w:r w:rsidR="00F17FED" w:rsidRPr="00187189">
        <w:rPr>
          <w:rFonts w:ascii="Verdana" w:hAnsi="Verdana"/>
          <w:bCs/>
          <w:caps/>
          <w:sz w:val="20"/>
          <w:szCs w:val="20"/>
        </w:rPr>
        <w:t xml:space="preserve">La protección del </w:t>
      </w:r>
      <w:r w:rsidR="00F17FED" w:rsidRPr="00187189">
        <w:rPr>
          <w:rFonts w:ascii="Verdana" w:hAnsi="Verdana"/>
          <w:bCs/>
          <w:i/>
          <w:caps/>
          <w:sz w:val="20"/>
          <w:szCs w:val="20"/>
        </w:rPr>
        <w:t>derecho a la vivienda</w:t>
      </w:r>
      <w:r w:rsidR="00F17FED" w:rsidRPr="00187189">
        <w:rPr>
          <w:rFonts w:ascii="Verdana" w:hAnsi="Verdana"/>
          <w:bCs/>
          <w:caps/>
          <w:sz w:val="20"/>
          <w:szCs w:val="20"/>
        </w:rPr>
        <w:t xml:space="preserve"> por la vía indirecta a través de la conexidad con otros derechos</w:t>
      </w:r>
    </w:p>
    <w:p w14:paraId="7538534D" w14:textId="77777777" w:rsidR="00143D75" w:rsidRPr="005A4DF1" w:rsidRDefault="00143D75" w:rsidP="00454C7F">
      <w:pPr>
        <w:pStyle w:val="Estilo4"/>
        <w:numPr>
          <w:ilvl w:val="0"/>
          <w:numId w:val="0"/>
        </w:numPr>
        <w:spacing w:after="0"/>
        <w:jc w:val="both"/>
        <w:rPr>
          <w:rFonts w:ascii="Verdana" w:hAnsi="Verdana"/>
          <w:sz w:val="20"/>
          <w:szCs w:val="20"/>
          <w:lang w:val="es-ES_tradnl"/>
        </w:rPr>
      </w:pPr>
    </w:p>
    <w:p w14:paraId="3187A2DE" w14:textId="04F5248F" w:rsidR="00F17FED" w:rsidRPr="005A4DF1" w:rsidRDefault="009233E7" w:rsidP="00454C7F">
      <w:pPr>
        <w:pStyle w:val="ListParagraph"/>
        <w:ind w:left="0"/>
        <w:jc w:val="both"/>
        <w:rPr>
          <w:rFonts w:ascii="Verdana" w:hAnsi="Verdana"/>
          <w:sz w:val="20"/>
          <w:szCs w:val="20"/>
        </w:rPr>
      </w:pPr>
      <w:r>
        <w:rPr>
          <w:rFonts w:ascii="Verdana" w:hAnsi="Verdana"/>
          <w:sz w:val="20"/>
          <w:szCs w:val="20"/>
        </w:rPr>
        <w:t>41</w:t>
      </w:r>
      <w:r w:rsidR="00F17FED" w:rsidRPr="005A4DF1">
        <w:rPr>
          <w:rFonts w:ascii="Verdana" w:hAnsi="Verdana"/>
          <w:sz w:val="20"/>
          <w:szCs w:val="20"/>
        </w:rPr>
        <w:t xml:space="preserve">. </w:t>
      </w:r>
      <w:r w:rsidR="00F17FED" w:rsidRPr="005A4DF1">
        <w:rPr>
          <w:rFonts w:ascii="Verdana" w:hAnsi="Verdana"/>
          <w:sz w:val="20"/>
          <w:szCs w:val="20"/>
        </w:rPr>
        <w:tab/>
        <w:t xml:space="preserve">En el estado actual de la jurisprudencia interamericana, el </w:t>
      </w:r>
      <w:r w:rsidR="00F17FED" w:rsidRPr="005A4DF1">
        <w:rPr>
          <w:rFonts w:ascii="Verdana" w:hAnsi="Verdana"/>
          <w:i/>
          <w:sz w:val="20"/>
          <w:szCs w:val="20"/>
        </w:rPr>
        <w:t>derecho a la vivienda</w:t>
      </w:r>
      <w:r w:rsidR="00F17FED" w:rsidRPr="005A4DF1">
        <w:rPr>
          <w:rFonts w:ascii="Verdana" w:hAnsi="Verdana"/>
          <w:sz w:val="20"/>
          <w:szCs w:val="20"/>
        </w:rPr>
        <w:t xml:space="preserve"> se ha venido protegiendo de manera indirecta por conexidad, esencialmente</w:t>
      </w:r>
      <w:r w:rsidR="00D5289F">
        <w:rPr>
          <w:rFonts w:ascii="Verdana" w:hAnsi="Verdana"/>
          <w:sz w:val="20"/>
          <w:szCs w:val="20"/>
        </w:rPr>
        <w:t>,</w:t>
      </w:r>
      <w:r w:rsidR="00F17FED" w:rsidRPr="005A4DF1">
        <w:rPr>
          <w:rFonts w:ascii="Verdana" w:hAnsi="Verdana"/>
          <w:sz w:val="20"/>
          <w:szCs w:val="20"/>
        </w:rPr>
        <w:t xml:space="preserve"> mediante los </w:t>
      </w:r>
      <w:r>
        <w:rPr>
          <w:rFonts w:ascii="Verdana" w:hAnsi="Verdana"/>
          <w:sz w:val="20"/>
          <w:szCs w:val="20"/>
        </w:rPr>
        <w:t>derechos a la vida (</w:t>
      </w:r>
      <w:r w:rsidR="00F17FED" w:rsidRPr="005A4DF1">
        <w:rPr>
          <w:rFonts w:ascii="Verdana" w:hAnsi="Verdana"/>
          <w:sz w:val="20"/>
          <w:szCs w:val="20"/>
        </w:rPr>
        <w:t>artículos 4</w:t>
      </w:r>
      <w:r>
        <w:rPr>
          <w:rFonts w:ascii="Verdana" w:hAnsi="Verdana"/>
          <w:sz w:val="20"/>
          <w:szCs w:val="20"/>
        </w:rPr>
        <w:t>) y propiedad privada (artículo 21)</w:t>
      </w:r>
      <w:r w:rsidR="00F17FED" w:rsidRPr="005A4DF1">
        <w:rPr>
          <w:rFonts w:ascii="Verdana" w:hAnsi="Verdana"/>
          <w:sz w:val="20"/>
          <w:szCs w:val="20"/>
        </w:rPr>
        <w:t xml:space="preserve"> en escenarios como las condiciones de vida digna de las comunidades indígenas, el desplazamiento forzado, las masacres, la irrupción sin orden judicial y la destrucción de la propiedad.</w:t>
      </w:r>
    </w:p>
    <w:p w14:paraId="3B7FDAD1" w14:textId="77777777" w:rsidR="00F17FED" w:rsidRPr="005A4DF1" w:rsidRDefault="00F17FED" w:rsidP="00454C7F">
      <w:pPr>
        <w:pStyle w:val="ListParagraph"/>
        <w:ind w:left="0"/>
        <w:jc w:val="both"/>
        <w:rPr>
          <w:rFonts w:ascii="Verdana" w:hAnsi="Verdana"/>
          <w:sz w:val="20"/>
          <w:szCs w:val="20"/>
        </w:rPr>
      </w:pPr>
    </w:p>
    <w:p w14:paraId="32FA584C" w14:textId="39E139C5" w:rsidR="00F17FED" w:rsidRPr="005A4DF1" w:rsidRDefault="009233E7" w:rsidP="00454C7F">
      <w:pPr>
        <w:pStyle w:val="ListParagraph"/>
        <w:ind w:left="0"/>
        <w:jc w:val="both"/>
        <w:rPr>
          <w:rFonts w:ascii="Verdana" w:hAnsi="Verdana"/>
          <w:sz w:val="20"/>
          <w:szCs w:val="20"/>
        </w:rPr>
      </w:pPr>
      <w:r>
        <w:rPr>
          <w:rFonts w:ascii="Verdana" w:hAnsi="Verdana"/>
          <w:sz w:val="20"/>
          <w:szCs w:val="20"/>
        </w:rPr>
        <w:t>42</w:t>
      </w:r>
      <w:r w:rsidR="00F17FED" w:rsidRPr="005A4DF1">
        <w:rPr>
          <w:rFonts w:ascii="Verdana" w:hAnsi="Verdana"/>
          <w:sz w:val="20"/>
          <w:szCs w:val="20"/>
        </w:rPr>
        <w:t xml:space="preserve">. </w:t>
      </w:r>
      <w:r w:rsidR="00F17FED" w:rsidRPr="005A4DF1">
        <w:rPr>
          <w:rFonts w:ascii="Verdana" w:hAnsi="Verdana"/>
          <w:sz w:val="20"/>
          <w:szCs w:val="20"/>
        </w:rPr>
        <w:tab/>
        <w:t xml:space="preserve">En cuanto  a las condiciones de vida digna, en los casos </w:t>
      </w:r>
      <w:proofErr w:type="spellStart"/>
      <w:r w:rsidR="00F17FED" w:rsidRPr="005A4DF1">
        <w:rPr>
          <w:rFonts w:ascii="Verdana" w:hAnsi="Verdana"/>
          <w:i/>
          <w:sz w:val="20"/>
          <w:szCs w:val="20"/>
        </w:rPr>
        <w:t>Yakye</w:t>
      </w:r>
      <w:proofErr w:type="spellEnd"/>
      <w:r w:rsidR="00F17FED" w:rsidRPr="005A4DF1">
        <w:rPr>
          <w:rFonts w:ascii="Verdana" w:hAnsi="Verdana"/>
          <w:i/>
          <w:sz w:val="20"/>
          <w:szCs w:val="20"/>
        </w:rPr>
        <w:t xml:space="preserve"> Axa</w:t>
      </w:r>
      <w:r w:rsidR="00F17FED" w:rsidRPr="005A4DF1">
        <w:rPr>
          <w:rFonts w:ascii="Verdana" w:hAnsi="Verdana"/>
          <w:sz w:val="20"/>
          <w:szCs w:val="20"/>
        </w:rPr>
        <w:t xml:space="preserve"> y </w:t>
      </w:r>
      <w:proofErr w:type="spellStart"/>
      <w:r w:rsidR="00F17FED" w:rsidRPr="005A4DF1">
        <w:rPr>
          <w:rFonts w:ascii="Verdana" w:hAnsi="Verdana"/>
          <w:i/>
          <w:sz w:val="20"/>
          <w:szCs w:val="20"/>
        </w:rPr>
        <w:t>Sawhoyamaxa</w:t>
      </w:r>
      <w:proofErr w:type="spellEnd"/>
      <w:r w:rsidR="00F17FED" w:rsidRPr="005A4DF1">
        <w:rPr>
          <w:rFonts w:ascii="Verdana" w:hAnsi="Verdana"/>
          <w:sz w:val="20"/>
          <w:szCs w:val="20"/>
        </w:rPr>
        <w:t>, ambos contra el Estado paraguayo,</w:t>
      </w:r>
      <w:r w:rsidR="00F17FED" w:rsidRPr="005A4DF1">
        <w:rPr>
          <w:rFonts w:ascii="Verdana" w:hAnsi="Verdana"/>
          <w:color w:val="000000"/>
          <w:sz w:val="20"/>
          <w:szCs w:val="20"/>
        </w:rPr>
        <w:t xml:space="preserve"> la Corte IDH se ha pronunciado en los casos de pueblos indígenas, considerando que la falta de acceso a los territorios ancestrales, y al estar en asentamientos temporales, los miembros de las comunidades se habían visto imposibilitados de acceder a una </w:t>
      </w:r>
      <w:r w:rsidR="00F17FED" w:rsidRPr="005A4DF1">
        <w:rPr>
          <w:rFonts w:ascii="Verdana" w:hAnsi="Verdana"/>
          <w:i/>
          <w:color w:val="000000"/>
          <w:sz w:val="20"/>
          <w:szCs w:val="20"/>
        </w:rPr>
        <w:t>vivienda adecuada</w:t>
      </w:r>
      <w:r w:rsidR="00F17FED" w:rsidRPr="005A4DF1">
        <w:rPr>
          <w:rFonts w:ascii="Verdana" w:hAnsi="Verdana"/>
          <w:color w:val="000000"/>
          <w:sz w:val="20"/>
          <w:szCs w:val="20"/>
        </w:rPr>
        <w:t xml:space="preserve"> dotada de los servicios básicos mínimos, así como al agua limpia y a los servicios sanitarios</w:t>
      </w:r>
      <w:r w:rsidR="00F17FED" w:rsidRPr="005A4DF1">
        <w:rPr>
          <w:rStyle w:val="FootnoteReference"/>
          <w:rFonts w:ascii="Verdana" w:hAnsi="Verdana"/>
          <w:color w:val="000000"/>
          <w:sz w:val="20"/>
          <w:szCs w:val="20"/>
        </w:rPr>
        <w:footnoteReference w:id="39"/>
      </w:r>
      <w:r w:rsidR="00F17FED" w:rsidRPr="005A4DF1">
        <w:rPr>
          <w:rFonts w:ascii="Verdana" w:hAnsi="Verdana"/>
          <w:color w:val="000000"/>
          <w:sz w:val="20"/>
          <w:szCs w:val="20"/>
        </w:rPr>
        <w:t xml:space="preserve">. </w:t>
      </w:r>
    </w:p>
    <w:p w14:paraId="491A2351" w14:textId="77777777" w:rsidR="00F17FED" w:rsidRPr="005A4DF1" w:rsidRDefault="00F17FED" w:rsidP="00454C7F">
      <w:pPr>
        <w:jc w:val="both"/>
        <w:rPr>
          <w:rFonts w:ascii="Verdana" w:hAnsi="Verdana"/>
          <w:sz w:val="20"/>
          <w:szCs w:val="20"/>
        </w:rPr>
      </w:pPr>
    </w:p>
    <w:p w14:paraId="0AC9ADC0" w14:textId="01538A7D" w:rsidR="00F17FED" w:rsidRPr="005A4DF1" w:rsidRDefault="009233E7" w:rsidP="00454C7F">
      <w:pPr>
        <w:pStyle w:val="ListParagraph"/>
        <w:ind w:left="0"/>
        <w:jc w:val="both"/>
        <w:rPr>
          <w:rFonts w:ascii="Verdana" w:hAnsi="Verdana"/>
          <w:sz w:val="20"/>
          <w:szCs w:val="20"/>
        </w:rPr>
      </w:pPr>
      <w:r>
        <w:rPr>
          <w:rFonts w:ascii="Verdana" w:hAnsi="Verdana"/>
          <w:sz w:val="20"/>
          <w:szCs w:val="20"/>
        </w:rPr>
        <w:t>43</w:t>
      </w:r>
      <w:r w:rsidR="00F17FED" w:rsidRPr="005A4DF1">
        <w:rPr>
          <w:rFonts w:ascii="Verdana" w:hAnsi="Verdana"/>
          <w:sz w:val="20"/>
          <w:szCs w:val="20"/>
        </w:rPr>
        <w:t xml:space="preserve">. </w:t>
      </w:r>
      <w:r w:rsidR="00F17FED" w:rsidRPr="005A4DF1">
        <w:rPr>
          <w:rFonts w:ascii="Verdana" w:hAnsi="Verdana"/>
          <w:sz w:val="20"/>
          <w:szCs w:val="20"/>
        </w:rPr>
        <w:tab/>
        <w:t xml:space="preserve">En los casos de la </w:t>
      </w:r>
      <w:r w:rsidR="00F17FED" w:rsidRPr="005A4DF1">
        <w:rPr>
          <w:rFonts w:ascii="Verdana" w:hAnsi="Verdana"/>
          <w:i/>
          <w:sz w:val="20"/>
          <w:szCs w:val="20"/>
        </w:rPr>
        <w:t>Familia Barrios</w:t>
      </w:r>
      <w:r w:rsidR="00F17FED" w:rsidRPr="005A4DF1">
        <w:rPr>
          <w:rFonts w:ascii="Verdana" w:hAnsi="Verdana"/>
          <w:sz w:val="20"/>
          <w:szCs w:val="20"/>
        </w:rPr>
        <w:t xml:space="preserve"> y </w:t>
      </w:r>
      <w:proofErr w:type="spellStart"/>
      <w:r w:rsidR="00F17FED" w:rsidRPr="005A4DF1">
        <w:rPr>
          <w:rFonts w:ascii="Verdana" w:hAnsi="Verdana"/>
          <w:i/>
          <w:sz w:val="20"/>
          <w:szCs w:val="20"/>
        </w:rPr>
        <w:t>Uzcátegui</w:t>
      </w:r>
      <w:proofErr w:type="spellEnd"/>
      <w:r w:rsidR="00F17FED" w:rsidRPr="005A4DF1">
        <w:rPr>
          <w:rFonts w:ascii="Verdana" w:hAnsi="Verdana"/>
          <w:i/>
          <w:sz w:val="20"/>
          <w:szCs w:val="20"/>
        </w:rPr>
        <w:t xml:space="preserve"> y otros</w:t>
      </w:r>
      <w:r w:rsidR="00F17FED" w:rsidRPr="005A4DF1">
        <w:rPr>
          <w:rFonts w:ascii="Verdana" w:hAnsi="Verdana"/>
          <w:sz w:val="20"/>
          <w:szCs w:val="20"/>
        </w:rPr>
        <w:t>, ambos contra el Estado venezolano</w:t>
      </w:r>
      <w:r w:rsidR="00F17FED" w:rsidRPr="005A4DF1">
        <w:rPr>
          <w:rStyle w:val="FootnoteReference"/>
          <w:rFonts w:ascii="Verdana" w:hAnsi="Verdana"/>
          <w:sz w:val="20"/>
          <w:szCs w:val="20"/>
        </w:rPr>
        <w:footnoteReference w:id="40"/>
      </w:r>
      <w:r>
        <w:rPr>
          <w:rFonts w:ascii="Verdana" w:hAnsi="Verdana"/>
          <w:sz w:val="20"/>
          <w:szCs w:val="20"/>
        </w:rPr>
        <w:t>, así como</w:t>
      </w:r>
      <w:r w:rsidR="00F17FED" w:rsidRPr="005A4DF1">
        <w:rPr>
          <w:rFonts w:ascii="Verdana" w:hAnsi="Verdana"/>
          <w:sz w:val="20"/>
          <w:szCs w:val="20"/>
        </w:rPr>
        <w:t xml:space="preserve"> en el caso de la </w:t>
      </w:r>
      <w:r w:rsidR="00F17FED" w:rsidRPr="005A4DF1">
        <w:rPr>
          <w:rFonts w:ascii="Verdana" w:hAnsi="Verdana"/>
          <w:i/>
          <w:sz w:val="20"/>
          <w:szCs w:val="20"/>
        </w:rPr>
        <w:t>Comunidad Campesina de Santa Bárbara Vs. Perú</w:t>
      </w:r>
      <w:r w:rsidR="00F17FED" w:rsidRPr="005A4DF1">
        <w:rPr>
          <w:rStyle w:val="FootnoteReference"/>
          <w:rFonts w:ascii="Verdana" w:hAnsi="Verdana"/>
          <w:i/>
          <w:sz w:val="20"/>
          <w:szCs w:val="20"/>
        </w:rPr>
        <w:footnoteReference w:id="41"/>
      </w:r>
      <w:r w:rsidR="00F17FED" w:rsidRPr="005A4DF1">
        <w:rPr>
          <w:rFonts w:ascii="Verdana" w:hAnsi="Verdana"/>
          <w:i/>
          <w:sz w:val="20"/>
          <w:szCs w:val="20"/>
        </w:rPr>
        <w:t xml:space="preserve">, </w:t>
      </w:r>
      <w:r w:rsidR="00F17FED" w:rsidRPr="005A4DF1">
        <w:rPr>
          <w:rFonts w:ascii="Verdana" w:hAnsi="Verdana"/>
          <w:sz w:val="20"/>
          <w:szCs w:val="20"/>
        </w:rPr>
        <w:t xml:space="preserve">la Corte IDH declaró violado el derecho de propiedad por la destrucción parcial o total de </w:t>
      </w:r>
      <w:r w:rsidR="00F17FED" w:rsidRPr="005A4DF1">
        <w:rPr>
          <w:rFonts w:ascii="Verdana" w:hAnsi="Verdana"/>
          <w:i/>
          <w:sz w:val="20"/>
          <w:szCs w:val="20"/>
        </w:rPr>
        <w:t>las viviendas</w:t>
      </w:r>
      <w:r w:rsidR="00F17FED" w:rsidRPr="005A4DF1">
        <w:rPr>
          <w:rFonts w:ascii="Verdana" w:hAnsi="Verdana"/>
          <w:sz w:val="20"/>
          <w:szCs w:val="20"/>
        </w:rPr>
        <w:t xml:space="preserve">. Adicionalmente, en el </w:t>
      </w:r>
      <w:r w:rsidR="00F17FED" w:rsidRPr="005A4DF1">
        <w:rPr>
          <w:rFonts w:ascii="Verdana" w:hAnsi="Verdana"/>
          <w:i/>
          <w:sz w:val="20"/>
          <w:szCs w:val="20"/>
        </w:rPr>
        <w:t xml:space="preserve">caso </w:t>
      </w:r>
      <w:proofErr w:type="spellStart"/>
      <w:r w:rsidR="00F17FED" w:rsidRPr="005A4DF1">
        <w:rPr>
          <w:rFonts w:ascii="Verdana" w:hAnsi="Verdana"/>
          <w:i/>
          <w:sz w:val="20"/>
          <w:szCs w:val="20"/>
        </w:rPr>
        <w:t>Uzcátegui</w:t>
      </w:r>
      <w:proofErr w:type="spellEnd"/>
      <w:r w:rsidR="00F17FED" w:rsidRPr="005A4DF1">
        <w:rPr>
          <w:rFonts w:ascii="Verdana" w:hAnsi="Verdana"/>
          <w:sz w:val="20"/>
          <w:szCs w:val="20"/>
        </w:rPr>
        <w:t>, el Tribunal Interamericano consideró que por las circunstancias en las</w:t>
      </w:r>
      <w:r w:rsidR="00D5289F">
        <w:rPr>
          <w:rFonts w:ascii="Verdana" w:hAnsi="Verdana"/>
          <w:sz w:val="20"/>
          <w:szCs w:val="20"/>
        </w:rPr>
        <w:t xml:space="preserve"> que tuvo lugar la violación del</w:t>
      </w:r>
      <w:r w:rsidR="00F17FED" w:rsidRPr="005A4DF1">
        <w:rPr>
          <w:rFonts w:ascii="Verdana" w:hAnsi="Verdana"/>
          <w:sz w:val="20"/>
          <w:szCs w:val="20"/>
        </w:rPr>
        <w:t xml:space="preserve"> artículo 21, muy especialmente por la condición socioeconómica y vulnerabilidad de la familia </w:t>
      </w:r>
      <w:proofErr w:type="spellStart"/>
      <w:r w:rsidR="00F17FED" w:rsidRPr="005A4DF1">
        <w:rPr>
          <w:rFonts w:ascii="Verdana" w:hAnsi="Verdana"/>
          <w:sz w:val="20"/>
          <w:szCs w:val="20"/>
        </w:rPr>
        <w:t>Uzcátegui</w:t>
      </w:r>
      <w:proofErr w:type="spellEnd"/>
      <w:r w:rsidR="00F17FED" w:rsidRPr="005A4DF1">
        <w:rPr>
          <w:rFonts w:ascii="Verdana" w:hAnsi="Verdana"/>
          <w:sz w:val="20"/>
          <w:szCs w:val="20"/>
        </w:rPr>
        <w:t xml:space="preserve">, los daños ocasionados a la propiedad con motivo del allanamiento habían tenido un efecto y magnitud mayor que los que hubiesen tenido para grupos familiares en otras condiciones; por lo </w:t>
      </w:r>
      <w:r w:rsidR="00D5289F">
        <w:rPr>
          <w:rFonts w:ascii="Verdana" w:hAnsi="Verdana"/>
          <w:sz w:val="20"/>
          <w:szCs w:val="20"/>
        </w:rPr>
        <w:t xml:space="preserve">anterior, el Tribunal Interamericano refirió que </w:t>
      </w:r>
      <w:r w:rsidR="00F17FED" w:rsidRPr="005A4DF1">
        <w:rPr>
          <w:rFonts w:ascii="Verdana" w:hAnsi="Verdana"/>
          <w:sz w:val="20"/>
          <w:szCs w:val="20"/>
        </w:rPr>
        <w:t>los</w:t>
      </w:r>
      <w:r w:rsidR="00F17FED" w:rsidRPr="005A4DF1">
        <w:rPr>
          <w:rFonts w:ascii="Verdana" w:hAnsi="Verdana" w:cs="Times New Roman"/>
          <w:sz w:val="20"/>
          <w:szCs w:val="20"/>
        </w:rPr>
        <w:t xml:space="preserve"> Estados debían tomar en cuenta que los grupos de personas que viven en circunstancias adversas y con menos recursos, tales como las personas que viven en condiciones de pobreza, enfrentan un incremento en el grado de afectación a sus derechos precisamente por su situación de mayor vulnerabilidad</w:t>
      </w:r>
      <w:r w:rsidR="00F17FED" w:rsidRPr="005A4DF1">
        <w:rPr>
          <w:rStyle w:val="FootnoteReference"/>
          <w:rFonts w:ascii="Verdana" w:hAnsi="Verdana" w:cs="Times New Roman"/>
          <w:sz w:val="20"/>
          <w:szCs w:val="20"/>
        </w:rPr>
        <w:footnoteReference w:id="42"/>
      </w:r>
      <w:r w:rsidR="00F17FED" w:rsidRPr="005A4DF1">
        <w:rPr>
          <w:rFonts w:ascii="Verdana" w:hAnsi="Verdana" w:cs="Times New Roman"/>
          <w:sz w:val="20"/>
          <w:szCs w:val="20"/>
        </w:rPr>
        <w:t xml:space="preserve">. </w:t>
      </w:r>
    </w:p>
    <w:p w14:paraId="761B51A0" w14:textId="77777777" w:rsidR="00F17FED" w:rsidRPr="005A4DF1" w:rsidRDefault="00F17FED" w:rsidP="00454C7F">
      <w:pPr>
        <w:pStyle w:val="ListParagraph"/>
        <w:ind w:left="0"/>
        <w:jc w:val="both"/>
        <w:rPr>
          <w:rFonts w:ascii="Verdana" w:hAnsi="Verdana"/>
          <w:sz w:val="20"/>
          <w:szCs w:val="20"/>
        </w:rPr>
      </w:pPr>
    </w:p>
    <w:p w14:paraId="11174DC8" w14:textId="7BA7C2C6" w:rsidR="00F17FED" w:rsidRPr="005A4DF1" w:rsidRDefault="009233E7" w:rsidP="00454C7F">
      <w:pPr>
        <w:pStyle w:val="ListParagraph"/>
        <w:ind w:left="0"/>
        <w:jc w:val="both"/>
        <w:rPr>
          <w:rFonts w:ascii="Verdana" w:hAnsi="Verdana"/>
          <w:sz w:val="20"/>
          <w:szCs w:val="20"/>
        </w:rPr>
      </w:pPr>
      <w:r>
        <w:rPr>
          <w:rFonts w:ascii="Verdana" w:hAnsi="Verdana"/>
          <w:sz w:val="20"/>
          <w:szCs w:val="20"/>
        </w:rPr>
        <w:t>44</w:t>
      </w:r>
      <w:r w:rsidR="00F17FED" w:rsidRPr="005A4DF1">
        <w:rPr>
          <w:rFonts w:ascii="Verdana" w:hAnsi="Verdana"/>
          <w:sz w:val="20"/>
          <w:szCs w:val="20"/>
        </w:rPr>
        <w:t xml:space="preserve">. </w:t>
      </w:r>
      <w:r w:rsidR="00F17FED" w:rsidRPr="005A4DF1">
        <w:rPr>
          <w:rFonts w:ascii="Verdana" w:hAnsi="Verdana"/>
          <w:sz w:val="20"/>
          <w:szCs w:val="20"/>
        </w:rPr>
        <w:tab/>
        <w:t>En el contexto del desplazamiento forzado y del conflicto armado interno, en el caso de las</w:t>
      </w:r>
      <w:r w:rsidR="00F17FED" w:rsidRPr="005A4DF1">
        <w:rPr>
          <w:rFonts w:ascii="Verdana" w:hAnsi="Verdana"/>
          <w:i/>
          <w:sz w:val="20"/>
          <w:szCs w:val="20"/>
        </w:rPr>
        <w:t xml:space="preserve"> Masacres del Mozote y lugares aledaños Vs. El Salvador, </w:t>
      </w:r>
      <w:r w:rsidR="00F17FED" w:rsidRPr="005A4DF1">
        <w:rPr>
          <w:rFonts w:ascii="Verdana" w:hAnsi="Verdana"/>
          <w:sz w:val="20"/>
          <w:szCs w:val="20"/>
        </w:rPr>
        <w:t xml:space="preserve">la Corte IDH constató que efectivos militares habían </w:t>
      </w:r>
      <w:r w:rsidR="00F17FED" w:rsidRPr="005A4DF1">
        <w:rPr>
          <w:rFonts w:ascii="Verdana" w:hAnsi="Verdana"/>
          <w:i/>
          <w:sz w:val="20"/>
          <w:szCs w:val="20"/>
        </w:rPr>
        <w:t>quemado las viviendas</w:t>
      </w:r>
      <w:r w:rsidR="00F17FED" w:rsidRPr="005A4DF1">
        <w:rPr>
          <w:rFonts w:ascii="Verdana" w:hAnsi="Verdana"/>
          <w:sz w:val="20"/>
          <w:szCs w:val="20"/>
        </w:rPr>
        <w:t>, razón por la cual la Corte IDH concluyó que el Estado violó el derecho a la propiedad privada reconocido en el artículo 21.1 y 21.2 de la Convención Americana, en relación con el artículo 1.1 del mismo instrumento, en perjuicio de los familiares de las víctimas ejecutadas de las masacres</w:t>
      </w:r>
      <w:r w:rsidR="00F17FED" w:rsidRPr="005A4DF1">
        <w:rPr>
          <w:rStyle w:val="FootnoteReference"/>
          <w:rFonts w:ascii="Verdana" w:hAnsi="Verdana"/>
          <w:sz w:val="20"/>
          <w:szCs w:val="20"/>
        </w:rPr>
        <w:footnoteReference w:id="43"/>
      </w:r>
      <w:r w:rsidR="00F17FED" w:rsidRPr="005A4DF1">
        <w:rPr>
          <w:rFonts w:ascii="Verdana" w:hAnsi="Verdana"/>
          <w:sz w:val="20"/>
          <w:szCs w:val="20"/>
        </w:rPr>
        <w:t xml:space="preserve">. </w:t>
      </w:r>
    </w:p>
    <w:p w14:paraId="460F9F70" w14:textId="77777777" w:rsidR="00F17FED" w:rsidRPr="005A4DF1" w:rsidRDefault="00F17FED" w:rsidP="00454C7F">
      <w:pPr>
        <w:jc w:val="both"/>
        <w:rPr>
          <w:rFonts w:ascii="Verdana" w:hAnsi="Verdana"/>
          <w:sz w:val="20"/>
          <w:szCs w:val="20"/>
        </w:rPr>
      </w:pPr>
    </w:p>
    <w:p w14:paraId="606464DA" w14:textId="7ADB5CD3" w:rsidR="00F17FED" w:rsidRPr="005A4DF1" w:rsidRDefault="009233E7" w:rsidP="00454C7F">
      <w:pPr>
        <w:pStyle w:val="ListParagraph"/>
        <w:ind w:left="0"/>
        <w:jc w:val="both"/>
        <w:rPr>
          <w:rFonts w:ascii="Verdana" w:hAnsi="Verdana"/>
          <w:sz w:val="20"/>
          <w:szCs w:val="20"/>
        </w:rPr>
      </w:pPr>
      <w:r>
        <w:rPr>
          <w:rFonts w:ascii="Verdana" w:hAnsi="Verdana"/>
          <w:sz w:val="20"/>
          <w:szCs w:val="20"/>
        </w:rPr>
        <w:t>45</w:t>
      </w:r>
      <w:r w:rsidR="00F17FED" w:rsidRPr="005A4DF1">
        <w:rPr>
          <w:rFonts w:ascii="Verdana" w:hAnsi="Verdana"/>
          <w:sz w:val="20"/>
          <w:szCs w:val="20"/>
        </w:rPr>
        <w:t xml:space="preserve">. </w:t>
      </w:r>
      <w:r w:rsidR="00F17FED" w:rsidRPr="005A4DF1">
        <w:rPr>
          <w:rFonts w:ascii="Verdana" w:hAnsi="Verdana"/>
          <w:sz w:val="20"/>
          <w:szCs w:val="20"/>
        </w:rPr>
        <w:tab/>
        <w:t xml:space="preserve">Por otro lado, en los casos de las </w:t>
      </w:r>
      <w:r w:rsidR="00F17FED" w:rsidRPr="005A4DF1">
        <w:rPr>
          <w:rFonts w:ascii="Verdana" w:hAnsi="Verdana"/>
          <w:i/>
          <w:sz w:val="20"/>
          <w:szCs w:val="20"/>
        </w:rPr>
        <w:t xml:space="preserve">Masacres de </w:t>
      </w:r>
      <w:proofErr w:type="spellStart"/>
      <w:r w:rsidR="00F17FED" w:rsidRPr="005A4DF1">
        <w:rPr>
          <w:rFonts w:ascii="Verdana" w:hAnsi="Verdana"/>
          <w:i/>
          <w:sz w:val="20"/>
          <w:szCs w:val="20"/>
        </w:rPr>
        <w:t>Ituango</w:t>
      </w:r>
      <w:proofErr w:type="spellEnd"/>
      <w:r w:rsidR="00F17FED" w:rsidRPr="005A4DF1">
        <w:rPr>
          <w:rFonts w:ascii="Verdana" w:hAnsi="Verdana"/>
          <w:sz w:val="20"/>
          <w:szCs w:val="20"/>
        </w:rPr>
        <w:t xml:space="preserve"> y </w:t>
      </w:r>
      <w:r w:rsidR="00F17FED" w:rsidRPr="005A4DF1">
        <w:rPr>
          <w:rFonts w:ascii="Verdana" w:hAnsi="Verdana" w:cs="Verdana"/>
          <w:bCs/>
          <w:i/>
          <w:sz w:val="20"/>
          <w:szCs w:val="20"/>
        </w:rPr>
        <w:t xml:space="preserve">Caso de las comunidades afrodescendientes desplazadas de la Cuenca del Río Cacarica (Operación Génesis), </w:t>
      </w:r>
      <w:r w:rsidR="00F17FED" w:rsidRPr="005A4DF1">
        <w:rPr>
          <w:rFonts w:ascii="Verdana" w:hAnsi="Verdana" w:cs="Verdana"/>
          <w:bCs/>
          <w:sz w:val="20"/>
          <w:szCs w:val="20"/>
        </w:rPr>
        <w:t xml:space="preserve">ambos contra el Estado colombiano, </w:t>
      </w:r>
      <w:r w:rsidR="00F17FED" w:rsidRPr="005A4DF1">
        <w:rPr>
          <w:rFonts w:ascii="Verdana" w:hAnsi="Verdana"/>
          <w:sz w:val="20"/>
          <w:szCs w:val="20"/>
        </w:rPr>
        <w:t xml:space="preserve">el Tribunal Interamericano consideró que la </w:t>
      </w:r>
      <w:r w:rsidR="00F17FED" w:rsidRPr="005A4DF1">
        <w:rPr>
          <w:rFonts w:ascii="Verdana" w:hAnsi="Verdana"/>
          <w:i/>
          <w:sz w:val="20"/>
          <w:szCs w:val="20"/>
        </w:rPr>
        <w:t>quema de las viviendas</w:t>
      </w:r>
      <w:r w:rsidR="00F17FED" w:rsidRPr="005A4DF1">
        <w:rPr>
          <w:rFonts w:ascii="Verdana" w:hAnsi="Verdana"/>
          <w:sz w:val="20"/>
          <w:szCs w:val="20"/>
        </w:rPr>
        <w:t xml:space="preserve"> constituyó una grave vulneración de un bien indispensable para la población. Por tales motivos, el efecto que tuvo la destrucción de los hogares fue la pérdida, no solo de bienes materiales, sino de todo referente social de personas que, en algunos casos, habían residido todas sus vidas en dicho poblado. </w:t>
      </w:r>
      <w:r w:rsidR="00F17FED" w:rsidRPr="005A4DF1">
        <w:rPr>
          <w:rFonts w:ascii="Verdana" w:hAnsi="Verdana"/>
          <w:i/>
          <w:sz w:val="20"/>
          <w:szCs w:val="20"/>
        </w:rPr>
        <w:t>La destrucción de sus hogares, además de constituir una gran pérdida de carácter económico, causó en los pobladores una pérdida de sus más básicas condiciones de existencia, lo cual hacía que la violación al derecho a la propiedad en estos casos fuera  de especial gravedad</w:t>
      </w:r>
      <w:r w:rsidR="00F17FED" w:rsidRPr="005A4DF1">
        <w:rPr>
          <w:rStyle w:val="FootnoteReference"/>
          <w:rFonts w:ascii="Verdana" w:hAnsi="Verdana"/>
          <w:sz w:val="20"/>
          <w:szCs w:val="20"/>
        </w:rPr>
        <w:footnoteReference w:id="44"/>
      </w:r>
      <w:r w:rsidR="00F17FED" w:rsidRPr="005A4DF1">
        <w:rPr>
          <w:rFonts w:ascii="Verdana" w:hAnsi="Verdana"/>
          <w:sz w:val="20"/>
          <w:szCs w:val="20"/>
        </w:rPr>
        <w:t>.</w:t>
      </w:r>
    </w:p>
    <w:p w14:paraId="63A77939" w14:textId="77777777" w:rsidR="006E1E95" w:rsidRPr="005A4DF1" w:rsidRDefault="006E1E95" w:rsidP="00454C7F">
      <w:pPr>
        <w:pStyle w:val="ListParagraph"/>
        <w:ind w:left="0"/>
        <w:jc w:val="both"/>
        <w:rPr>
          <w:rFonts w:ascii="Verdana" w:hAnsi="Verdana"/>
          <w:sz w:val="20"/>
          <w:szCs w:val="20"/>
        </w:rPr>
      </w:pPr>
    </w:p>
    <w:p w14:paraId="2AE2701A" w14:textId="0BC2E289" w:rsidR="006E1E95" w:rsidRPr="005A4DF1" w:rsidRDefault="009233E7" w:rsidP="00454C7F">
      <w:pPr>
        <w:pStyle w:val="ListParagraph"/>
        <w:ind w:left="0"/>
        <w:jc w:val="both"/>
        <w:rPr>
          <w:rFonts w:ascii="Verdana" w:hAnsi="Verdana"/>
          <w:sz w:val="20"/>
          <w:szCs w:val="20"/>
        </w:rPr>
      </w:pPr>
      <w:r w:rsidRPr="001361C3">
        <w:rPr>
          <w:rFonts w:ascii="Verdana" w:hAnsi="Verdana"/>
          <w:sz w:val="20"/>
          <w:szCs w:val="20"/>
        </w:rPr>
        <w:t>46</w:t>
      </w:r>
      <w:r w:rsidR="006E1E95" w:rsidRPr="001361C3">
        <w:rPr>
          <w:rFonts w:ascii="Verdana" w:hAnsi="Verdana"/>
          <w:sz w:val="20"/>
          <w:szCs w:val="20"/>
        </w:rPr>
        <w:t xml:space="preserve">. </w:t>
      </w:r>
      <w:r w:rsidR="006E1E95" w:rsidRPr="001361C3">
        <w:rPr>
          <w:rFonts w:ascii="Verdana" w:hAnsi="Verdana"/>
          <w:sz w:val="20"/>
          <w:szCs w:val="20"/>
        </w:rPr>
        <w:tab/>
        <w:t>Esta protección</w:t>
      </w:r>
      <w:r w:rsidRPr="001361C3">
        <w:rPr>
          <w:rFonts w:ascii="Verdana" w:hAnsi="Verdana"/>
          <w:sz w:val="20"/>
          <w:szCs w:val="20"/>
        </w:rPr>
        <w:t xml:space="preserve"> por conexidad, sin embargo, </w:t>
      </w:r>
      <w:r w:rsidR="006E1E95" w:rsidRPr="001361C3">
        <w:rPr>
          <w:rFonts w:ascii="Verdana" w:hAnsi="Verdana"/>
          <w:sz w:val="20"/>
          <w:szCs w:val="20"/>
        </w:rPr>
        <w:t>no abona a</w:t>
      </w:r>
      <w:r w:rsidRPr="001361C3">
        <w:rPr>
          <w:rFonts w:ascii="Verdana" w:hAnsi="Verdana"/>
          <w:sz w:val="20"/>
          <w:szCs w:val="20"/>
        </w:rPr>
        <w:t>l entendimiento pleno de</w:t>
      </w:r>
      <w:r w:rsidR="006E1E95" w:rsidRPr="001361C3">
        <w:rPr>
          <w:rFonts w:ascii="Verdana" w:hAnsi="Verdana"/>
          <w:sz w:val="20"/>
          <w:szCs w:val="20"/>
        </w:rPr>
        <w:t xml:space="preserve"> la interdependencia</w:t>
      </w:r>
      <w:r w:rsidRPr="001361C3">
        <w:rPr>
          <w:rFonts w:ascii="Verdana" w:hAnsi="Verdana"/>
          <w:sz w:val="20"/>
          <w:szCs w:val="20"/>
        </w:rPr>
        <w:t xml:space="preserve"> e indivisibilidad de</w:t>
      </w:r>
      <w:r w:rsidR="001361C3">
        <w:rPr>
          <w:rFonts w:ascii="Verdana" w:hAnsi="Verdana"/>
          <w:sz w:val="20"/>
          <w:szCs w:val="20"/>
        </w:rPr>
        <w:t xml:space="preserve"> todos los derechos, sean</w:t>
      </w:r>
      <w:r w:rsidRPr="001361C3">
        <w:rPr>
          <w:rFonts w:ascii="Verdana" w:hAnsi="Verdana"/>
          <w:sz w:val="20"/>
          <w:szCs w:val="20"/>
        </w:rPr>
        <w:t xml:space="preserve"> civiles y políticos, económicos, sociales y ambientales, sin jerarquía entre ellos, provocando </w:t>
      </w:r>
      <w:r w:rsidR="001361C3">
        <w:rPr>
          <w:rFonts w:ascii="Verdana" w:hAnsi="Verdana"/>
          <w:sz w:val="20"/>
          <w:szCs w:val="20"/>
        </w:rPr>
        <w:t xml:space="preserve">en muchas ocasiones </w:t>
      </w:r>
      <w:r w:rsidRPr="001361C3">
        <w:rPr>
          <w:rFonts w:ascii="Verdana" w:hAnsi="Verdana"/>
          <w:sz w:val="20"/>
          <w:szCs w:val="20"/>
        </w:rPr>
        <w:t xml:space="preserve">desnaturalización de los derechos y confusiones conceptuales importantes. Como veremos más adelante, </w:t>
      </w:r>
      <w:r w:rsidR="006E1E95" w:rsidRPr="001361C3">
        <w:rPr>
          <w:rFonts w:ascii="Verdana" w:hAnsi="Verdana"/>
          <w:sz w:val="20"/>
          <w:szCs w:val="20"/>
        </w:rPr>
        <w:t>una interp</w:t>
      </w:r>
      <w:r w:rsidR="001361C3" w:rsidRPr="001361C3">
        <w:rPr>
          <w:rFonts w:ascii="Verdana" w:hAnsi="Verdana"/>
          <w:sz w:val="20"/>
          <w:szCs w:val="20"/>
        </w:rPr>
        <w:t>r</w:t>
      </w:r>
      <w:r w:rsidR="006E1E95" w:rsidRPr="001361C3">
        <w:rPr>
          <w:rFonts w:ascii="Verdana" w:hAnsi="Verdana"/>
          <w:sz w:val="20"/>
          <w:szCs w:val="20"/>
        </w:rPr>
        <w:t xml:space="preserve">etación evolutiva del artículo 26 </w:t>
      </w:r>
      <w:r w:rsidR="001361C3" w:rsidRPr="001361C3">
        <w:rPr>
          <w:rFonts w:ascii="Verdana" w:hAnsi="Verdana"/>
          <w:sz w:val="20"/>
          <w:szCs w:val="20"/>
        </w:rPr>
        <w:t xml:space="preserve">del Pacto de San José en el presente caso, hubiese sido de especial significación para ahondar en el </w:t>
      </w:r>
      <w:r w:rsidR="001361C3" w:rsidRPr="001361C3">
        <w:rPr>
          <w:rFonts w:ascii="Verdana" w:hAnsi="Verdana"/>
          <w:i/>
          <w:sz w:val="20"/>
          <w:szCs w:val="20"/>
        </w:rPr>
        <w:t>derecho a la vivienda</w:t>
      </w:r>
      <w:r w:rsidR="001361C3" w:rsidRPr="001361C3">
        <w:rPr>
          <w:rFonts w:ascii="Verdana" w:hAnsi="Verdana"/>
          <w:sz w:val="20"/>
          <w:szCs w:val="20"/>
        </w:rPr>
        <w:t xml:space="preserve">, lo cual </w:t>
      </w:r>
      <w:r w:rsidR="001361C3">
        <w:rPr>
          <w:rFonts w:ascii="Verdana" w:hAnsi="Verdana"/>
          <w:sz w:val="20"/>
          <w:szCs w:val="20"/>
        </w:rPr>
        <w:t>estimo</w:t>
      </w:r>
      <w:r w:rsidR="001361C3" w:rsidRPr="001361C3">
        <w:rPr>
          <w:rFonts w:ascii="Verdana" w:hAnsi="Verdana"/>
          <w:sz w:val="20"/>
          <w:szCs w:val="20"/>
        </w:rPr>
        <w:t xml:space="preserve"> legítimo </w:t>
      </w:r>
      <w:r w:rsidR="001361C3">
        <w:rPr>
          <w:rFonts w:ascii="Verdana" w:hAnsi="Verdana"/>
          <w:sz w:val="20"/>
          <w:szCs w:val="20"/>
        </w:rPr>
        <w:t>y necesario,</w:t>
      </w:r>
      <w:r w:rsidR="001361C3" w:rsidRPr="001361C3">
        <w:rPr>
          <w:rFonts w:ascii="Verdana" w:hAnsi="Verdana"/>
          <w:sz w:val="20"/>
          <w:szCs w:val="20"/>
        </w:rPr>
        <w:t xml:space="preserve"> de acuerdo a los tiempos actuales, </w:t>
      </w:r>
      <w:r w:rsidR="006E1E95" w:rsidRPr="001361C3">
        <w:rPr>
          <w:rFonts w:ascii="Verdana" w:hAnsi="Verdana"/>
          <w:sz w:val="20"/>
          <w:szCs w:val="20"/>
        </w:rPr>
        <w:t>como pasamos a continuación a analizar.</w:t>
      </w:r>
    </w:p>
    <w:p w14:paraId="39F8DD15" w14:textId="77777777" w:rsidR="00402B34" w:rsidRDefault="00402B34" w:rsidP="00454C7F">
      <w:pPr>
        <w:pStyle w:val="ListParagraph"/>
        <w:ind w:left="0"/>
        <w:jc w:val="both"/>
        <w:rPr>
          <w:rFonts w:ascii="Verdana" w:hAnsi="Verdana"/>
          <w:sz w:val="20"/>
          <w:szCs w:val="20"/>
        </w:rPr>
      </w:pPr>
    </w:p>
    <w:p w14:paraId="0632DFCA" w14:textId="77777777" w:rsidR="00C066E4" w:rsidRPr="005A4DF1" w:rsidRDefault="00C066E4" w:rsidP="00454C7F">
      <w:pPr>
        <w:pStyle w:val="ListParagraph"/>
        <w:ind w:left="0"/>
        <w:jc w:val="both"/>
        <w:rPr>
          <w:rFonts w:ascii="Verdana" w:hAnsi="Verdana"/>
          <w:sz w:val="20"/>
          <w:szCs w:val="20"/>
        </w:rPr>
      </w:pPr>
    </w:p>
    <w:p w14:paraId="36784A8C" w14:textId="7CF48E09" w:rsidR="00402B34" w:rsidRPr="00187189" w:rsidRDefault="00D5289F" w:rsidP="006E1E95">
      <w:pPr>
        <w:spacing w:line="276" w:lineRule="auto"/>
        <w:jc w:val="center"/>
        <w:rPr>
          <w:rFonts w:ascii="Verdana" w:hAnsi="Verdana"/>
          <w:sz w:val="20"/>
          <w:szCs w:val="20"/>
        </w:rPr>
      </w:pPr>
      <w:r w:rsidRPr="00187189">
        <w:rPr>
          <w:rFonts w:ascii="Verdana" w:hAnsi="Verdana"/>
          <w:sz w:val="20"/>
          <w:szCs w:val="20"/>
        </w:rPr>
        <w:t xml:space="preserve">III. </w:t>
      </w:r>
      <w:r w:rsidR="00402B34" w:rsidRPr="00187189">
        <w:rPr>
          <w:rFonts w:ascii="Verdana" w:hAnsi="Verdana"/>
          <w:sz w:val="20"/>
          <w:szCs w:val="20"/>
        </w:rPr>
        <w:t xml:space="preserve">LA POSIBILIDAD DE ABORDAR EL </w:t>
      </w:r>
      <w:r w:rsidR="00402B34" w:rsidRPr="00187189">
        <w:rPr>
          <w:rFonts w:ascii="Verdana" w:hAnsi="Verdana"/>
          <w:i/>
          <w:sz w:val="20"/>
          <w:szCs w:val="20"/>
        </w:rPr>
        <w:t>DERECHO A LA VIVIENDA</w:t>
      </w:r>
    </w:p>
    <w:p w14:paraId="3FD0AAC9" w14:textId="77777777" w:rsidR="00402B34" w:rsidRPr="00187189" w:rsidRDefault="00402B34" w:rsidP="006E1E95">
      <w:pPr>
        <w:spacing w:line="276" w:lineRule="auto"/>
        <w:jc w:val="center"/>
        <w:rPr>
          <w:rFonts w:ascii="Verdana" w:hAnsi="Verdana"/>
          <w:sz w:val="20"/>
          <w:szCs w:val="20"/>
        </w:rPr>
      </w:pPr>
      <w:r w:rsidRPr="00187189">
        <w:rPr>
          <w:rFonts w:ascii="Verdana" w:hAnsi="Verdana"/>
          <w:sz w:val="20"/>
          <w:szCs w:val="20"/>
        </w:rPr>
        <w:t>DE MANERA AUTÓNOMA EN LA JURISPRUDENCIA DE LA CORTE INTERAMERICANA</w:t>
      </w:r>
    </w:p>
    <w:p w14:paraId="4334B743" w14:textId="77777777" w:rsidR="00402B34" w:rsidRPr="005A4DF1" w:rsidRDefault="00402B34" w:rsidP="00454C7F">
      <w:pPr>
        <w:pStyle w:val="ListParagraph"/>
        <w:ind w:left="0"/>
        <w:jc w:val="both"/>
        <w:rPr>
          <w:rFonts w:ascii="Verdana" w:hAnsi="Verdana"/>
          <w:sz w:val="20"/>
          <w:szCs w:val="20"/>
        </w:rPr>
      </w:pPr>
    </w:p>
    <w:p w14:paraId="2149C723" w14:textId="4AC217AA" w:rsidR="005A4DF1" w:rsidRPr="005A4DF1" w:rsidRDefault="001361C3" w:rsidP="006E1E95">
      <w:pPr>
        <w:pStyle w:val="ListParagraph"/>
        <w:ind w:left="0"/>
        <w:jc w:val="both"/>
        <w:rPr>
          <w:rFonts w:ascii="Verdana" w:hAnsi="Verdana"/>
          <w:sz w:val="20"/>
          <w:szCs w:val="20"/>
        </w:rPr>
      </w:pPr>
      <w:r>
        <w:rPr>
          <w:rFonts w:ascii="Verdana" w:hAnsi="Verdana"/>
          <w:sz w:val="20"/>
          <w:szCs w:val="20"/>
        </w:rPr>
        <w:t>47</w:t>
      </w:r>
      <w:r w:rsidR="006E1E95" w:rsidRPr="005A4DF1">
        <w:rPr>
          <w:rFonts w:ascii="Verdana" w:hAnsi="Verdana"/>
          <w:sz w:val="20"/>
          <w:szCs w:val="20"/>
        </w:rPr>
        <w:t xml:space="preserve">. </w:t>
      </w:r>
      <w:r w:rsidR="006E1E95" w:rsidRPr="005A4DF1">
        <w:rPr>
          <w:rFonts w:ascii="Verdana" w:hAnsi="Verdana"/>
          <w:sz w:val="20"/>
          <w:szCs w:val="20"/>
        </w:rPr>
        <w:tab/>
      </w:r>
      <w:r w:rsidR="00402B34" w:rsidRPr="005A4DF1">
        <w:rPr>
          <w:rFonts w:ascii="Verdana" w:hAnsi="Verdana"/>
          <w:sz w:val="20"/>
          <w:szCs w:val="20"/>
        </w:rPr>
        <w:t xml:space="preserve">De los derechos económicos, sociales, </w:t>
      </w:r>
      <w:r w:rsidR="008D7E1E">
        <w:rPr>
          <w:rFonts w:ascii="Verdana" w:hAnsi="Verdana"/>
          <w:sz w:val="20"/>
          <w:szCs w:val="20"/>
        </w:rPr>
        <w:t>culturales y ambientales</w:t>
      </w:r>
      <w:r w:rsidR="00402B34" w:rsidRPr="005A4DF1">
        <w:rPr>
          <w:rFonts w:ascii="Verdana" w:hAnsi="Verdana"/>
          <w:sz w:val="20"/>
          <w:szCs w:val="20"/>
        </w:rPr>
        <w:t xml:space="preserve"> que se han consagrado en los instrumentos internacionales, resulta de especial interés lo relativo al </w:t>
      </w:r>
      <w:r w:rsidR="00402B34" w:rsidRPr="005A4DF1">
        <w:rPr>
          <w:rFonts w:ascii="Verdana" w:hAnsi="Verdana"/>
          <w:i/>
          <w:sz w:val="20"/>
          <w:szCs w:val="20"/>
        </w:rPr>
        <w:t>derecho a la vivienda</w:t>
      </w:r>
      <w:r w:rsidR="00402B34" w:rsidRPr="005A4DF1">
        <w:rPr>
          <w:rFonts w:ascii="Verdana" w:hAnsi="Verdana"/>
          <w:sz w:val="20"/>
          <w:szCs w:val="20"/>
        </w:rPr>
        <w:t xml:space="preserve">, al constituir un derecho que ha pasado desapercibido —con diferentes intensidades— en el Derecho Internacional de los Derechos Humanos, incluso en el Sistema Interamericano. </w:t>
      </w:r>
    </w:p>
    <w:p w14:paraId="32E3BE5B" w14:textId="77777777" w:rsidR="005A4DF1" w:rsidRPr="005A4DF1" w:rsidRDefault="005A4DF1" w:rsidP="006E1E95">
      <w:pPr>
        <w:pStyle w:val="ListParagraph"/>
        <w:ind w:left="0"/>
        <w:jc w:val="both"/>
        <w:rPr>
          <w:rFonts w:ascii="Verdana" w:hAnsi="Verdana"/>
          <w:sz w:val="20"/>
          <w:szCs w:val="20"/>
        </w:rPr>
      </w:pPr>
    </w:p>
    <w:p w14:paraId="586761CD" w14:textId="2A024552" w:rsidR="00402B34" w:rsidRPr="005A4DF1" w:rsidRDefault="001361C3" w:rsidP="006E1E95">
      <w:pPr>
        <w:pStyle w:val="ListParagraph"/>
        <w:ind w:left="0"/>
        <w:jc w:val="both"/>
        <w:rPr>
          <w:rFonts w:ascii="Verdana" w:hAnsi="Verdana"/>
          <w:sz w:val="20"/>
          <w:szCs w:val="20"/>
        </w:rPr>
      </w:pPr>
      <w:r>
        <w:rPr>
          <w:rFonts w:ascii="Verdana" w:hAnsi="Verdana"/>
          <w:sz w:val="20"/>
          <w:szCs w:val="20"/>
        </w:rPr>
        <w:t>48</w:t>
      </w:r>
      <w:r w:rsidR="005A4DF1">
        <w:rPr>
          <w:rFonts w:ascii="Verdana" w:hAnsi="Verdana"/>
          <w:sz w:val="20"/>
          <w:szCs w:val="20"/>
        </w:rPr>
        <w:t xml:space="preserve">. </w:t>
      </w:r>
      <w:r w:rsidR="005A4DF1">
        <w:rPr>
          <w:rFonts w:ascii="Verdana" w:hAnsi="Verdana"/>
          <w:sz w:val="20"/>
          <w:szCs w:val="20"/>
        </w:rPr>
        <w:tab/>
      </w:r>
      <w:r w:rsidR="006E1E95" w:rsidRPr="005A4DF1">
        <w:rPr>
          <w:rFonts w:ascii="Verdana" w:hAnsi="Verdana"/>
          <w:sz w:val="20"/>
          <w:szCs w:val="20"/>
        </w:rPr>
        <w:t xml:space="preserve">Me referiré a continuación a diversas dimensiones que nos llevan a sostener la necesidad de avanzar en el Sistema Interamericano hacia el pleno reconocimiento y protección autónoma del </w:t>
      </w:r>
      <w:r w:rsidR="006E1E95" w:rsidRPr="005A4DF1">
        <w:rPr>
          <w:rFonts w:ascii="Verdana" w:hAnsi="Verdana"/>
          <w:i/>
          <w:sz w:val="20"/>
          <w:szCs w:val="20"/>
        </w:rPr>
        <w:t>derecho a la vivienda</w:t>
      </w:r>
      <w:r w:rsidR="006E1E95" w:rsidRPr="005A4DF1">
        <w:rPr>
          <w:rFonts w:ascii="Verdana" w:hAnsi="Verdana"/>
          <w:sz w:val="20"/>
          <w:szCs w:val="20"/>
        </w:rPr>
        <w:t>. Para ello nos referiremos a los siguientes rubros</w:t>
      </w:r>
      <w:proofErr w:type="gramStart"/>
      <w:r w:rsidR="006E1E95" w:rsidRPr="005A4DF1">
        <w:rPr>
          <w:rFonts w:ascii="Verdana" w:hAnsi="Verdana"/>
          <w:sz w:val="20"/>
          <w:szCs w:val="20"/>
        </w:rPr>
        <w:t xml:space="preserve">:  </w:t>
      </w:r>
      <w:r w:rsidR="006E1E95" w:rsidRPr="005A4DF1">
        <w:rPr>
          <w:rFonts w:ascii="Verdana" w:hAnsi="Verdana"/>
          <w:b/>
          <w:i/>
          <w:sz w:val="20"/>
          <w:szCs w:val="20"/>
        </w:rPr>
        <w:t>A</w:t>
      </w:r>
      <w:proofErr w:type="gramEnd"/>
      <w:r w:rsidR="006E1E95" w:rsidRPr="005A4DF1">
        <w:rPr>
          <w:rFonts w:ascii="Verdana" w:hAnsi="Verdana"/>
          <w:b/>
          <w:i/>
          <w:sz w:val="20"/>
          <w:szCs w:val="20"/>
        </w:rPr>
        <w:t>.</w:t>
      </w:r>
      <w:r w:rsidR="00D5289F">
        <w:rPr>
          <w:rFonts w:ascii="Verdana" w:hAnsi="Verdana"/>
          <w:sz w:val="20"/>
          <w:szCs w:val="20"/>
        </w:rPr>
        <w:t xml:space="preserve"> Reconocimiento Normativo;</w:t>
      </w:r>
      <w:r w:rsidR="006E1E95" w:rsidRPr="005A4DF1">
        <w:rPr>
          <w:rFonts w:ascii="Verdana" w:hAnsi="Verdana"/>
          <w:sz w:val="20"/>
          <w:szCs w:val="20"/>
        </w:rPr>
        <w:t xml:space="preserve"> </w:t>
      </w:r>
      <w:r w:rsidR="006E1E95" w:rsidRPr="005A4DF1">
        <w:rPr>
          <w:rFonts w:ascii="Verdana" w:hAnsi="Verdana"/>
          <w:b/>
          <w:i/>
          <w:sz w:val="20"/>
          <w:szCs w:val="20"/>
        </w:rPr>
        <w:t>B.</w:t>
      </w:r>
      <w:r w:rsidR="006E1E95" w:rsidRPr="005A4DF1">
        <w:rPr>
          <w:rFonts w:ascii="Verdana" w:hAnsi="Verdana"/>
          <w:sz w:val="20"/>
          <w:szCs w:val="20"/>
        </w:rPr>
        <w:t xml:space="preserve"> Concept</w:t>
      </w:r>
      <w:r w:rsidR="00D5289F">
        <w:rPr>
          <w:rFonts w:ascii="Verdana" w:hAnsi="Verdana"/>
          <w:sz w:val="20"/>
          <w:szCs w:val="20"/>
        </w:rPr>
        <w:t>o y relación con otros derechos;</w:t>
      </w:r>
      <w:r w:rsidR="006E1E95" w:rsidRPr="005A4DF1">
        <w:rPr>
          <w:rFonts w:ascii="Verdana" w:hAnsi="Verdana"/>
          <w:sz w:val="20"/>
          <w:szCs w:val="20"/>
        </w:rPr>
        <w:t xml:space="preserve"> </w:t>
      </w:r>
      <w:r w:rsidR="006E1E95" w:rsidRPr="005A4DF1">
        <w:rPr>
          <w:rFonts w:ascii="Verdana" w:hAnsi="Verdana"/>
          <w:b/>
          <w:i/>
          <w:sz w:val="20"/>
          <w:szCs w:val="20"/>
        </w:rPr>
        <w:t>C.</w:t>
      </w:r>
      <w:r w:rsidR="006E1E95" w:rsidRPr="005A4DF1">
        <w:rPr>
          <w:rFonts w:ascii="Verdana" w:hAnsi="Verdana"/>
          <w:sz w:val="20"/>
          <w:szCs w:val="20"/>
        </w:rPr>
        <w:t xml:space="preserve"> </w:t>
      </w:r>
      <w:r w:rsidR="005A4DF1" w:rsidRPr="005A4DF1">
        <w:rPr>
          <w:rFonts w:ascii="Verdana" w:hAnsi="Verdana"/>
          <w:sz w:val="20"/>
          <w:szCs w:val="20"/>
        </w:rPr>
        <w:t>Obl</w:t>
      </w:r>
      <w:r w:rsidR="00D5289F">
        <w:rPr>
          <w:rFonts w:ascii="Verdana" w:hAnsi="Verdana"/>
          <w:sz w:val="20"/>
          <w:szCs w:val="20"/>
        </w:rPr>
        <w:t>igaciones de respeto y garantía; y</w:t>
      </w:r>
      <w:r w:rsidR="005A4DF1" w:rsidRPr="005A4DF1">
        <w:rPr>
          <w:rFonts w:ascii="Verdana" w:hAnsi="Verdana"/>
          <w:sz w:val="20"/>
          <w:szCs w:val="20"/>
        </w:rPr>
        <w:t xml:space="preserve"> </w:t>
      </w:r>
      <w:r w:rsidR="005A4DF1" w:rsidRPr="005A4DF1">
        <w:rPr>
          <w:rFonts w:ascii="Verdana" w:hAnsi="Verdana"/>
          <w:b/>
          <w:i/>
          <w:sz w:val="20"/>
          <w:szCs w:val="20"/>
        </w:rPr>
        <w:t>D.</w:t>
      </w:r>
      <w:r w:rsidR="005A4DF1" w:rsidRPr="005A4DF1">
        <w:rPr>
          <w:rFonts w:ascii="Verdana" w:hAnsi="Verdana"/>
          <w:sz w:val="20"/>
          <w:szCs w:val="20"/>
        </w:rPr>
        <w:t xml:space="preserve"> </w:t>
      </w:r>
      <w:r w:rsidR="00904F99">
        <w:rPr>
          <w:rFonts w:ascii="Verdana" w:hAnsi="Verdana"/>
          <w:sz w:val="20"/>
          <w:szCs w:val="20"/>
        </w:rPr>
        <w:t>Co</w:t>
      </w:r>
      <w:r w:rsidR="00D5289F">
        <w:rPr>
          <w:rFonts w:ascii="Verdana" w:hAnsi="Verdana"/>
          <w:sz w:val="20"/>
          <w:szCs w:val="20"/>
        </w:rPr>
        <w:t>rolario</w:t>
      </w:r>
      <w:r w:rsidR="00904F99">
        <w:rPr>
          <w:rFonts w:ascii="Verdana" w:hAnsi="Verdana"/>
          <w:sz w:val="20"/>
          <w:szCs w:val="20"/>
        </w:rPr>
        <w:t xml:space="preserve">: el </w:t>
      </w:r>
      <w:r w:rsidR="00904F99" w:rsidRPr="00904F99">
        <w:rPr>
          <w:rFonts w:ascii="Verdana" w:hAnsi="Verdana"/>
          <w:i/>
          <w:sz w:val="20"/>
          <w:szCs w:val="20"/>
        </w:rPr>
        <w:t>derecho a la vivienda</w:t>
      </w:r>
      <w:r w:rsidR="00904F99">
        <w:rPr>
          <w:rFonts w:ascii="Verdana" w:hAnsi="Verdana"/>
          <w:sz w:val="20"/>
          <w:szCs w:val="20"/>
        </w:rPr>
        <w:t xml:space="preserve"> contenido en el artículo 26 del Pacto de San José.</w:t>
      </w:r>
    </w:p>
    <w:p w14:paraId="0F6599EF" w14:textId="77777777" w:rsidR="00402B34" w:rsidRPr="005A4DF1" w:rsidRDefault="00402B34" w:rsidP="00454C7F">
      <w:pPr>
        <w:jc w:val="both"/>
        <w:rPr>
          <w:rFonts w:ascii="Verdana" w:hAnsi="Verdana"/>
          <w:sz w:val="20"/>
          <w:szCs w:val="20"/>
        </w:rPr>
      </w:pPr>
    </w:p>
    <w:p w14:paraId="5011A260" w14:textId="3DAFF335" w:rsidR="00454C7F" w:rsidRPr="005A4DF1" w:rsidRDefault="00295000" w:rsidP="00454C7F">
      <w:pPr>
        <w:pStyle w:val="ListParagraph"/>
        <w:ind w:left="284"/>
        <w:contextualSpacing w:val="0"/>
        <w:jc w:val="both"/>
        <w:rPr>
          <w:rFonts w:ascii="Verdana" w:hAnsi="Verdana"/>
          <w:i/>
          <w:sz w:val="20"/>
          <w:szCs w:val="20"/>
        </w:rPr>
      </w:pPr>
      <w:r>
        <w:rPr>
          <w:rFonts w:ascii="Verdana" w:hAnsi="Verdana"/>
          <w:i/>
          <w:sz w:val="20"/>
          <w:szCs w:val="20"/>
        </w:rPr>
        <w:t>A.</w:t>
      </w:r>
      <w:r w:rsidR="00454C7F" w:rsidRPr="005A4DF1">
        <w:rPr>
          <w:rFonts w:ascii="Verdana" w:hAnsi="Verdana"/>
          <w:i/>
          <w:sz w:val="20"/>
          <w:szCs w:val="20"/>
        </w:rPr>
        <w:t xml:space="preserve"> </w:t>
      </w:r>
      <w:r w:rsidR="00454C7F" w:rsidRPr="005A4DF1">
        <w:rPr>
          <w:rFonts w:ascii="Verdana" w:hAnsi="Verdana"/>
          <w:i/>
          <w:sz w:val="20"/>
          <w:szCs w:val="20"/>
          <w:u w:val="single"/>
        </w:rPr>
        <w:t>Reconocimiento normativo</w:t>
      </w:r>
    </w:p>
    <w:p w14:paraId="4F8F2DB7" w14:textId="77777777" w:rsidR="00454C7F" w:rsidRPr="005A4DF1" w:rsidRDefault="00454C7F" w:rsidP="00454C7F">
      <w:pPr>
        <w:pStyle w:val="ListParagraph"/>
        <w:ind w:left="0"/>
        <w:contextualSpacing w:val="0"/>
        <w:jc w:val="both"/>
        <w:rPr>
          <w:rFonts w:ascii="Verdana" w:hAnsi="Verdana"/>
          <w:sz w:val="20"/>
          <w:szCs w:val="20"/>
        </w:rPr>
      </w:pPr>
    </w:p>
    <w:p w14:paraId="42D9B473" w14:textId="55492257" w:rsidR="00454C7F" w:rsidRDefault="0017580F" w:rsidP="00454C7F">
      <w:pPr>
        <w:widowControl w:val="0"/>
        <w:autoSpaceDE w:val="0"/>
        <w:autoSpaceDN w:val="0"/>
        <w:adjustRightInd w:val="0"/>
        <w:jc w:val="both"/>
        <w:rPr>
          <w:rFonts w:ascii="Verdana" w:hAnsi="Verdana"/>
          <w:sz w:val="20"/>
          <w:szCs w:val="20"/>
        </w:rPr>
      </w:pPr>
      <w:r>
        <w:rPr>
          <w:rFonts w:ascii="Verdana" w:hAnsi="Verdana"/>
          <w:sz w:val="20"/>
          <w:szCs w:val="20"/>
        </w:rPr>
        <w:t>49</w:t>
      </w:r>
      <w:r w:rsidR="00454C7F" w:rsidRPr="005A4DF1">
        <w:rPr>
          <w:rFonts w:ascii="Verdana" w:hAnsi="Verdana"/>
          <w:sz w:val="20"/>
          <w:szCs w:val="20"/>
        </w:rPr>
        <w:t>.</w:t>
      </w:r>
      <w:r w:rsidR="00454C7F" w:rsidRPr="005A4DF1">
        <w:rPr>
          <w:rFonts w:ascii="Verdana" w:hAnsi="Verdana"/>
          <w:sz w:val="20"/>
          <w:szCs w:val="20"/>
        </w:rPr>
        <w:tab/>
        <w:t xml:space="preserve">A continuación se hace referencia a distintas normas del ámbito universal y americano que contienen disposiciones vinculadas </w:t>
      </w:r>
      <w:r w:rsidR="00872450">
        <w:rPr>
          <w:rFonts w:ascii="Verdana" w:hAnsi="Verdana"/>
          <w:sz w:val="20"/>
          <w:szCs w:val="20"/>
        </w:rPr>
        <w:t xml:space="preserve">al derecho a la vivienda. Se </w:t>
      </w:r>
      <w:r w:rsidR="00454C7F" w:rsidRPr="005A4DF1">
        <w:rPr>
          <w:rFonts w:ascii="Verdana" w:hAnsi="Verdana"/>
          <w:sz w:val="20"/>
          <w:szCs w:val="20"/>
        </w:rPr>
        <w:t>hace a fin de brindar un panorama general sobre normativa in</w:t>
      </w:r>
      <w:r w:rsidR="002A5EAA">
        <w:rPr>
          <w:rFonts w:ascii="Verdana" w:hAnsi="Verdana"/>
          <w:sz w:val="20"/>
          <w:szCs w:val="20"/>
        </w:rPr>
        <w:t>ternacional pertinente para  paí</w:t>
      </w:r>
      <w:r w:rsidR="00454C7F" w:rsidRPr="005A4DF1">
        <w:rPr>
          <w:rFonts w:ascii="Verdana" w:hAnsi="Verdana"/>
          <w:sz w:val="20"/>
          <w:szCs w:val="20"/>
        </w:rPr>
        <w:t xml:space="preserve">ses de América, y no asumiendo que todas ellas resultan relevantes en relación con el caso </w:t>
      </w:r>
      <w:proofErr w:type="spellStart"/>
      <w:r w:rsidR="00454C7F" w:rsidRPr="005A4DF1">
        <w:rPr>
          <w:rFonts w:ascii="Verdana" w:hAnsi="Verdana"/>
          <w:i/>
          <w:sz w:val="20"/>
          <w:szCs w:val="20"/>
        </w:rPr>
        <w:t>Yarce</w:t>
      </w:r>
      <w:proofErr w:type="spellEnd"/>
      <w:r w:rsidR="00454C7F" w:rsidRPr="005A4DF1">
        <w:rPr>
          <w:rFonts w:ascii="Verdana" w:hAnsi="Verdana"/>
          <w:i/>
          <w:sz w:val="20"/>
          <w:szCs w:val="20"/>
        </w:rPr>
        <w:t xml:space="preserve"> y otras Vs. Colombia</w:t>
      </w:r>
      <w:r w:rsidR="00454C7F" w:rsidRPr="005A4DF1">
        <w:rPr>
          <w:rFonts w:ascii="Verdana" w:hAnsi="Verdana"/>
          <w:sz w:val="20"/>
          <w:szCs w:val="20"/>
        </w:rPr>
        <w:t xml:space="preserve">, a cuya Sentencia concurre este voto.  </w:t>
      </w:r>
    </w:p>
    <w:p w14:paraId="34EC79FE" w14:textId="77777777" w:rsidR="00454C7F" w:rsidRPr="005A4DF1" w:rsidRDefault="00454C7F" w:rsidP="00454C7F">
      <w:pPr>
        <w:widowControl w:val="0"/>
        <w:autoSpaceDE w:val="0"/>
        <w:autoSpaceDN w:val="0"/>
        <w:adjustRightInd w:val="0"/>
        <w:jc w:val="both"/>
        <w:rPr>
          <w:rFonts w:ascii="Verdana" w:hAnsi="Verdana"/>
          <w:sz w:val="20"/>
          <w:szCs w:val="20"/>
        </w:rPr>
      </w:pPr>
    </w:p>
    <w:p w14:paraId="6F10D36C" w14:textId="1433759C" w:rsidR="00454C7F" w:rsidRPr="005A4DF1" w:rsidRDefault="0017580F" w:rsidP="00454C7F">
      <w:pPr>
        <w:widowControl w:val="0"/>
        <w:autoSpaceDE w:val="0"/>
        <w:autoSpaceDN w:val="0"/>
        <w:adjustRightInd w:val="0"/>
        <w:jc w:val="both"/>
        <w:rPr>
          <w:rFonts w:ascii="Verdana" w:hAnsi="Verdana"/>
          <w:sz w:val="20"/>
          <w:szCs w:val="20"/>
        </w:rPr>
      </w:pPr>
      <w:r>
        <w:rPr>
          <w:rFonts w:ascii="Verdana" w:hAnsi="Verdana"/>
          <w:sz w:val="20"/>
          <w:szCs w:val="20"/>
        </w:rPr>
        <w:t>50</w:t>
      </w:r>
      <w:r w:rsidR="00454C7F" w:rsidRPr="005A4DF1">
        <w:rPr>
          <w:rFonts w:ascii="Verdana" w:hAnsi="Verdana"/>
          <w:sz w:val="20"/>
          <w:szCs w:val="20"/>
        </w:rPr>
        <w:t>.</w:t>
      </w:r>
      <w:r w:rsidR="00454C7F" w:rsidRPr="005A4DF1">
        <w:rPr>
          <w:rFonts w:ascii="Verdana" w:hAnsi="Verdana"/>
          <w:sz w:val="20"/>
          <w:szCs w:val="20"/>
        </w:rPr>
        <w:tab/>
        <w:t xml:space="preserve"> En el ámbito universal cabe destacar, principalmente, la recepción del derecho </w:t>
      </w:r>
      <w:r w:rsidR="00454C7F" w:rsidRPr="005A4DF1">
        <w:rPr>
          <w:rFonts w:ascii="Verdana" w:hAnsi="Verdana"/>
          <w:sz w:val="20"/>
          <w:szCs w:val="20"/>
        </w:rPr>
        <w:lastRenderedPageBreak/>
        <w:t>a la vivienda en el artículo 25.1 de la Declaración Universal de Derechos Humanos</w:t>
      </w:r>
      <w:r w:rsidR="00454C7F" w:rsidRPr="005A4DF1">
        <w:rPr>
          <w:rStyle w:val="FootnoteReference"/>
          <w:rFonts w:ascii="Verdana" w:hAnsi="Verdana"/>
          <w:sz w:val="20"/>
          <w:szCs w:val="20"/>
        </w:rPr>
        <w:footnoteReference w:id="45"/>
      </w:r>
      <w:r w:rsidR="00454C7F" w:rsidRPr="005A4DF1">
        <w:rPr>
          <w:rFonts w:ascii="Verdana" w:hAnsi="Verdana"/>
          <w:sz w:val="20"/>
          <w:szCs w:val="20"/>
        </w:rPr>
        <w:t xml:space="preserve"> y en el artículo 11.1</w:t>
      </w:r>
      <w:r w:rsidR="002A5EAA">
        <w:rPr>
          <w:rFonts w:ascii="Verdana" w:hAnsi="Verdana"/>
          <w:sz w:val="20"/>
          <w:szCs w:val="20"/>
        </w:rPr>
        <w:t xml:space="preserve"> </w:t>
      </w:r>
      <w:r w:rsidR="00454C7F" w:rsidRPr="005A4DF1">
        <w:rPr>
          <w:rFonts w:ascii="Verdana" w:hAnsi="Verdana"/>
          <w:sz w:val="20"/>
          <w:szCs w:val="20"/>
        </w:rPr>
        <w:t>del Pacto Internacional de Derechos Económicos, Sociales y Culturales</w:t>
      </w:r>
      <w:r w:rsidR="00454C7F" w:rsidRPr="005A4DF1">
        <w:rPr>
          <w:rStyle w:val="FootnoteReference"/>
          <w:rFonts w:ascii="Verdana" w:hAnsi="Verdana"/>
          <w:sz w:val="20"/>
          <w:szCs w:val="20"/>
        </w:rPr>
        <w:footnoteReference w:id="46"/>
      </w:r>
      <w:r w:rsidR="00454C7F" w:rsidRPr="005A4DF1">
        <w:rPr>
          <w:rFonts w:ascii="Verdana" w:hAnsi="Verdana"/>
          <w:sz w:val="20"/>
          <w:szCs w:val="20"/>
        </w:rPr>
        <w:t>. Además diversas normas internacionales han hecho mención a la vivienda en términos de “derecho”, entre las que puede nombrarse el artículo 5.e.iiii de la Convención Internacional sobre la Eliminación de Todas las Forma</w:t>
      </w:r>
      <w:r w:rsidR="00295000">
        <w:rPr>
          <w:rFonts w:ascii="Verdana" w:hAnsi="Verdana"/>
          <w:sz w:val="20"/>
          <w:szCs w:val="20"/>
        </w:rPr>
        <w:t>s de Discriminación Racial</w:t>
      </w:r>
      <w:r w:rsidR="00454C7F" w:rsidRPr="005A4DF1">
        <w:rPr>
          <w:rStyle w:val="FootnoteReference"/>
          <w:rFonts w:ascii="Verdana" w:hAnsi="Verdana"/>
          <w:sz w:val="20"/>
          <w:szCs w:val="20"/>
        </w:rPr>
        <w:footnoteReference w:id="47"/>
      </w:r>
      <w:r w:rsidR="00454C7F" w:rsidRPr="005A4DF1">
        <w:rPr>
          <w:rFonts w:ascii="Verdana" w:hAnsi="Verdana"/>
          <w:sz w:val="20"/>
          <w:szCs w:val="20"/>
        </w:rPr>
        <w:t>; el artículo 14.2.h. de la Convención sobre la Eliminación de Todas las Formas de Discriminación contra la Mujer</w:t>
      </w:r>
      <w:r w:rsidR="00454C7F" w:rsidRPr="005A4DF1">
        <w:rPr>
          <w:rStyle w:val="FootnoteReference"/>
          <w:rFonts w:ascii="Verdana" w:hAnsi="Verdana"/>
          <w:sz w:val="20"/>
          <w:szCs w:val="20"/>
        </w:rPr>
        <w:footnoteReference w:id="48"/>
      </w:r>
      <w:r w:rsidR="00454C7F" w:rsidRPr="005A4DF1">
        <w:rPr>
          <w:rFonts w:ascii="Verdana" w:hAnsi="Verdana"/>
          <w:sz w:val="20"/>
          <w:szCs w:val="20"/>
        </w:rPr>
        <w:t>; el artículo 27 de la Convención sobre los Derechos del Niño</w:t>
      </w:r>
      <w:r w:rsidR="00454C7F" w:rsidRPr="005A4DF1">
        <w:rPr>
          <w:rStyle w:val="FootnoteReference"/>
          <w:rFonts w:ascii="Verdana" w:hAnsi="Verdana"/>
          <w:sz w:val="20"/>
          <w:szCs w:val="20"/>
        </w:rPr>
        <w:footnoteReference w:id="49"/>
      </w:r>
      <w:r w:rsidR="00454C7F" w:rsidRPr="005A4DF1">
        <w:rPr>
          <w:rFonts w:ascii="Verdana" w:hAnsi="Verdana"/>
          <w:sz w:val="20"/>
          <w:szCs w:val="20"/>
        </w:rPr>
        <w:t>, y los artículos 9.1.a</w:t>
      </w:r>
      <w:r w:rsidR="00454C7F" w:rsidRPr="005A4DF1">
        <w:rPr>
          <w:rStyle w:val="FootnoteReference"/>
          <w:rFonts w:ascii="Verdana" w:hAnsi="Verdana"/>
          <w:sz w:val="20"/>
          <w:szCs w:val="20"/>
        </w:rPr>
        <w:footnoteReference w:id="50"/>
      </w:r>
      <w:r w:rsidR="00454C7F" w:rsidRPr="005A4DF1">
        <w:rPr>
          <w:rFonts w:ascii="Verdana" w:hAnsi="Verdana"/>
          <w:sz w:val="20"/>
          <w:szCs w:val="20"/>
        </w:rPr>
        <w:t>, 28.1</w:t>
      </w:r>
      <w:r w:rsidR="00454C7F" w:rsidRPr="005A4DF1">
        <w:rPr>
          <w:rStyle w:val="FootnoteReference"/>
          <w:rFonts w:ascii="Verdana" w:hAnsi="Verdana"/>
          <w:sz w:val="20"/>
          <w:szCs w:val="20"/>
        </w:rPr>
        <w:footnoteReference w:id="51"/>
      </w:r>
      <w:r w:rsidR="00454C7F" w:rsidRPr="005A4DF1">
        <w:rPr>
          <w:rFonts w:ascii="Verdana" w:hAnsi="Verdana"/>
          <w:sz w:val="20"/>
          <w:szCs w:val="20"/>
        </w:rPr>
        <w:t xml:space="preserve"> y 28.2.d</w:t>
      </w:r>
      <w:r w:rsidR="00454C7F" w:rsidRPr="005A4DF1">
        <w:rPr>
          <w:rStyle w:val="FootnoteReference"/>
          <w:rFonts w:ascii="Verdana" w:hAnsi="Verdana"/>
          <w:sz w:val="20"/>
          <w:szCs w:val="20"/>
        </w:rPr>
        <w:footnoteReference w:id="52"/>
      </w:r>
      <w:r w:rsidR="00454C7F" w:rsidRPr="005A4DF1">
        <w:rPr>
          <w:rFonts w:ascii="Verdana" w:hAnsi="Verdana"/>
          <w:sz w:val="20"/>
          <w:szCs w:val="20"/>
        </w:rPr>
        <w:t xml:space="preserve"> de la Convención sobre los Derechos de las Personas con Discapacidad</w:t>
      </w:r>
      <w:r w:rsidR="00454C7F" w:rsidRPr="005A4DF1">
        <w:rPr>
          <w:rStyle w:val="FootnoteReference"/>
          <w:rFonts w:ascii="Verdana" w:hAnsi="Verdana"/>
          <w:sz w:val="20"/>
          <w:szCs w:val="20"/>
        </w:rPr>
        <w:footnoteReference w:id="53"/>
      </w:r>
      <w:r w:rsidR="00454C7F" w:rsidRPr="005A4DF1">
        <w:rPr>
          <w:rFonts w:ascii="Verdana" w:hAnsi="Verdana"/>
          <w:sz w:val="20"/>
          <w:szCs w:val="20"/>
        </w:rPr>
        <w:t xml:space="preserve">. </w:t>
      </w:r>
    </w:p>
    <w:p w14:paraId="738BC161" w14:textId="77777777" w:rsidR="00454C7F" w:rsidRPr="005A4DF1" w:rsidRDefault="00454C7F" w:rsidP="00454C7F">
      <w:pPr>
        <w:tabs>
          <w:tab w:val="left" w:pos="709"/>
          <w:tab w:val="left" w:pos="9356"/>
        </w:tabs>
        <w:ind w:right="4"/>
        <w:jc w:val="both"/>
        <w:rPr>
          <w:rFonts w:ascii="Verdana" w:hAnsi="Verdana"/>
          <w:sz w:val="20"/>
          <w:szCs w:val="20"/>
        </w:rPr>
      </w:pPr>
    </w:p>
    <w:p w14:paraId="6E3C1F59" w14:textId="29DC1D24" w:rsidR="00454C7F" w:rsidRDefault="0017580F" w:rsidP="00454C7F">
      <w:pPr>
        <w:tabs>
          <w:tab w:val="left" w:pos="709"/>
          <w:tab w:val="left" w:pos="9356"/>
        </w:tabs>
        <w:ind w:right="4"/>
        <w:jc w:val="both"/>
        <w:rPr>
          <w:rFonts w:ascii="Verdana" w:eastAsiaTheme="minorHAnsi" w:hAnsi="Verdana" w:cs="Verdana"/>
          <w:sz w:val="20"/>
          <w:szCs w:val="20"/>
        </w:rPr>
      </w:pPr>
      <w:r>
        <w:rPr>
          <w:rFonts w:ascii="Verdana" w:hAnsi="Verdana"/>
          <w:sz w:val="20"/>
          <w:szCs w:val="20"/>
        </w:rPr>
        <w:t>51</w:t>
      </w:r>
      <w:r w:rsidR="00454C7F" w:rsidRPr="005A4DF1">
        <w:rPr>
          <w:rFonts w:ascii="Verdana" w:hAnsi="Verdana"/>
          <w:sz w:val="20"/>
          <w:szCs w:val="20"/>
        </w:rPr>
        <w:t>.</w:t>
      </w:r>
      <w:r w:rsidR="00454C7F" w:rsidRPr="005A4DF1">
        <w:rPr>
          <w:rFonts w:ascii="Verdana" w:hAnsi="Verdana"/>
          <w:sz w:val="20"/>
          <w:szCs w:val="20"/>
        </w:rPr>
        <w:tab/>
        <w:t>También se refieren a vivienda la Convención sobre el Estatuto de los Refugiados</w:t>
      </w:r>
      <w:r w:rsidR="00454C7F" w:rsidRPr="005A4DF1">
        <w:rPr>
          <w:rStyle w:val="FootnoteReference"/>
          <w:rFonts w:ascii="Verdana" w:hAnsi="Verdana"/>
          <w:sz w:val="20"/>
          <w:szCs w:val="20"/>
        </w:rPr>
        <w:footnoteReference w:id="54"/>
      </w:r>
      <w:r w:rsidR="00454C7F" w:rsidRPr="005A4DF1">
        <w:rPr>
          <w:rFonts w:ascii="Verdana" w:eastAsiaTheme="minorHAnsi" w:hAnsi="Verdana" w:cs="Verdana"/>
          <w:sz w:val="20"/>
          <w:szCs w:val="20"/>
        </w:rPr>
        <w:t xml:space="preserve"> y la Convención Internacional sobre la Protección de los Derechos de Todos los Trabajadores Migratorios y de sus Familiares</w:t>
      </w:r>
      <w:r w:rsidR="00454C7F" w:rsidRPr="005A4DF1">
        <w:rPr>
          <w:rStyle w:val="FootnoteReference"/>
          <w:rFonts w:ascii="Verdana" w:eastAsiaTheme="minorHAnsi" w:hAnsi="Verdana" w:cs="Verdana"/>
          <w:sz w:val="20"/>
          <w:szCs w:val="20"/>
        </w:rPr>
        <w:footnoteReference w:id="55"/>
      </w:r>
      <w:r w:rsidR="00454C7F" w:rsidRPr="005A4DF1">
        <w:rPr>
          <w:rFonts w:ascii="Verdana" w:eastAsiaTheme="minorHAnsi" w:hAnsi="Verdana" w:cs="Verdana"/>
          <w:sz w:val="20"/>
          <w:szCs w:val="20"/>
        </w:rPr>
        <w:t>. Asimismo, disposiciones vinculadas a la vivienda se encuentran en instrumentos sobre derechos de los pueblos indígenas u originarios, en que la materia se halla estrechamente vinculada a la tierra o territorio</w:t>
      </w:r>
      <w:r w:rsidR="00454C7F" w:rsidRPr="005A4DF1">
        <w:rPr>
          <w:rStyle w:val="FootnoteReference"/>
          <w:rFonts w:ascii="Verdana" w:eastAsiaTheme="minorHAnsi" w:hAnsi="Verdana" w:cs="Verdana"/>
          <w:sz w:val="20"/>
          <w:szCs w:val="20"/>
        </w:rPr>
        <w:footnoteReference w:id="56"/>
      </w:r>
      <w:r w:rsidR="00454C7F" w:rsidRPr="005A4DF1">
        <w:rPr>
          <w:rFonts w:ascii="Verdana" w:eastAsiaTheme="minorHAnsi" w:hAnsi="Verdana" w:cs="Verdana"/>
          <w:sz w:val="20"/>
          <w:szCs w:val="20"/>
        </w:rPr>
        <w:t>; en convenios de otra índole adoptados en el ámbito de la Organización</w:t>
      </w:r>
      <w:r w:rsidR="00F5616B">
        <w:rPr>
          <w:rFonts w:ascii="Verdana" w:eastAsiaTheme="minorHAnsi" w:hAnsi="Verdana" w:cs="Verdana"/>
          <w:sz w:val="20"/>
          <w:szCs w:val="20"/>
        </w:rPr>
        <w:t xml:space="preserve"> </w:t>
      </w:r>
      <w:bookmarkStart w:id="0" w:name="_GoBack"/>
      <w:bookmarkEnd w:id="0"/>
      <w:r w:rsidR="00454C7F" w:rsidRPr="005A4DF1">
        <w:rPr>
          <w:rFonts w:ascii="Verdana" w:eastAsiaTheme="minorHAnsi" w:hAnsi="Verdana" w:cs="Verdana"/>
          <w:sz w:val="20"/>
          <w:szCs w:val="20"/>
        </w:rPr>
        <w:lastRenderedPageBreak/>
        <w:t>Internacional del Trabaj</w:t>
      </w:r>
      <w:r w:rsidR="00DC791E">
        <w:rPr>
          <w:rFonts w:ascii="Verdana" w:eastAsiaTheme="minorHAnsi" w:hAnsi="Verdana" w:cs="Verdana"/>
          <w:sz w:val="20"/>
          <w:szCs w:val="20"/>
        </w:rPr>
        <w:t>o</w:t>
      </w:r>
      <w:r w:rsidR="00454C7F" w:rsidRPr="005A4DF1">
        <w:rPr>
          <w:rStyle w:val="FootnoteReference"/>
          <w:rFonts w:ascii="Verdana" w:eastAsiaTheme="minorHAnsi" w:hAnsi="Verdana" w:cs="Verdana"/>
          <w:sz w:val="20"/>
          <w:szCs w:val="20"/>
        </w:rPr>
        <w:footnoteReference w:id="57"/>
      </w:r>
      <w:r w:rsidR="00454C7F" w:rsidRPr="005A4DF1">
        <w:rPr>
          <w:rFonts w:ascii="Verdana" w:eastAsiaTheme="minorHAnsi" w:hAnsi="Verdana" w:cs="Verdana"/>
          <w:sz w:val="20"/>
          <w:szCs w:val="20"/>
        </w:rPr>
        <w:t>, así como en normas del derecho internacional humanitario</w:t>
      </w:r>
      <w:r w:rsidR="00454C7F" w:rsidRPr="005A4DF1">
        <w:rPr>
          <w:rStyle w:val="FootnoteReference"/>
          <w:rFonts w:ascii="Verdana" w:eastAsiaTheme="minorHAnsi" w:hAnsi="Verdana" w:cs="Verdana"/>
          <w:sz w:val="20"/>
          <w:szCs w:val="20"/>
        </w:rPr>
        <w:footnoteReference w:id="58"/>
      </w:r>
      <w:r w:rsidR="00454C7F" w:rsidRPr="005A4DF1">
        <w:rPr>
          <w:rFonts w:ascii="Verdana" w:eastAsiaTheme="minorHAnsi" w:hAnsi="Verdana" w:cs="Verdana"/>
          <w:sz w:val="20"/>
          <w:szCs w:val="20"/>
        </w:rPr>
        <w:t xml:space="preserve">.  </w:t>
      </w:r>
    </w:p>
    <w:p w14:paraId="6A3DBD18" w14:textId="77777777" w:rsidR="00C066E4" w:rsidRPr="005A4DF1" w:rsidRDefault="00C066E4" w:rsidP="00454C7F">
      <w:pPr>
        <w:tabs>
          <w:tab w:val="left" w:pos="709"/>
          <w:tab w:val="left" w:pos="9356"/>
        </w:tabs>
        <w:ind w:right="4"/>
        <w:jc w:val="both"/>
        <w:rPr>
          <w:rFonts w:ascii="Verdana" w:eastAsiaTheme="minorHAnsi" w:hAnsi="Verdana" w:cs="Verdana"/>
          <w:sz w:val="20"/>
          <w:szCs w:val="20"/>
        </w:rPr>
      </w:pPr>
    </w:p>
    <w:p w14:paraId="138B9677" w14:textId="0E764B93" w:rsidR="00454C7F" w:rsidRPr="005A4DF1" w:rsidRDefault="0017580F" w:rsidP="00454C7F">
      <w:pPr>
        <w:widowControl w:val="0"/>
        <w:autoSpaceDE w:val="0"/>
        <w:autoSpaceDN w:val="0"/>
        <w:adjustRightInd w:val="0"/>
        <w:jc w:val="both"/>
        <w:rPr>
          <w:rFonts w:ascii="Verdana" w:eastAsiaTheme="minorHAnsi" w:hAnsi="Verdana" w:cs="Verdana"/>
          <w:sz w:val="20"/>
          <w:szCs w:val="20"/>
        </w:rPr>
      </w:pPr>
      <w:r>
        <w:rPr>
          <w:rFonts w:ascii="Verdana" w:eastAsiaTheme="minorHAnsi" w:hAnsi="Verdana" w:cs="Verdana"/>
          <w:sz w:val="20"/>
          <w:szCs w:val="20"/>
        </w:rPr>
        <w:t>52</w:t>
      </w:r>
      <w:r w:rsidR="00454C7F" w:rsidRPr="005A4DF1">
        <w:rPr>
          <w:rFonts w:ascii="Verdana" w:eastAsiaTheme="minorHAnsi" w:hAnsi="Verdana" w:cs="Verdana"/>
          <w:sz w:val="20"/>
          <w:szCs w:val="20"/>
        </w:rPr>
        <w:t>.</w:t>
      </w:r>
      <w:r w:rsidR="00454C7F" w:rsidRPr="005A4DF1">
        <w:rPr>
          <w:rFonts w:ascii="Verdana" w:eastAsiaTheme="minorHAnsi" w:hAnsi="Verdana" w:cs="Verdana"/>
          <w:sz w:val="20"/>
          <w:szCs w:val="20"/>
        </w:rPr>
        <w:tab/>
        <w:t>En el ámb</w:t>
      </w:r>
      <w:r w:rsidR="00765031">
        <w:rPr>
          <w:rFonts w:ascii="Verdana" w:eastAsiaTheme="minorHAnsi" w:hAnsi="Verdana" w:cs="Verdana"/>
          <w:sz w:val="20"/>
          <w:szCs w:val="20"/>
        </w:rPr>
        <w:t>ito americano, son relevantes el</w:t>
      </w:r>
      <w:r w:rsidR="00454C7F" w:rsidRPr="005A4DF1">
        <w:rPr>
          <w:rFonts w:ascii="Verdana" w:eastAsiaTheme="minorHAnsi" w:hAnsi="Verdana" w:cs="Verdana"/>
          <w:sz w:val="20"/>
          <w:szCs w:val="20"/>
        </w:rPr>
        <w:t xml:space="preserve"> artículo 26 de la Convención </w:t>
      </w:r>
      <w:r w:rsidR="00295000">
        <w:rPr>
          <w:rFonts w:ascii="Verdana" w:eastAsiaTheme="minorHAnsi" w:hAnsi="Verdana" w:cs="Verdana"/>
          <w:sz w:val="20"/>
          <w:szCs w:val="20"/>
        </w:rPr>
        <w:t xml:space="preserve">Americana </w:t>
      </w:r>
      <w:r w:rsidR="00454C7F" w:rsidRPr="005A4DF1">
        <w:rPr>
          <w:rFonts w:ascii="Verdana" w:eastAsiaTheme="minorHAnsi" w:hAnsi="Verdana" w:cs="Verdana"/>
          <w:sz w:val="20"/>
          <w:szCs w:val="20"/>
        </w:rPr>
        <w:t xml:space="preserve">y </w:t>
      </w:r>
      <w:r w:rsidR="00765031">
        <w:rPr>
          <w:rFonts w:ascii="Verdana" w:eastAsiaTheme="minorHAnsi" w:hAnsi="Verdana" w:cs="Verdana"/>
          <w:sz w:val="20"/>
          <w:szCs w:val="20"/>
        </w:rPr>
        <w:t xml:space="preserve">el artículo </w:t>
      </w:r>
      <w:r w:rsidR="00454C7F" w:rsidRPr="005A4DF1">
        <w:rPr>
          <w:rFonts w:ascii="Verdana" w:eastAsiaTheme="minorHAnsi" w:hAnsi="Verdana" w:cs="Verdana"/>
          <w:sz w:val="20"/>
          <w:szCs w:val="20"/>
        </w:rPr>
        <w:t xml:space="preserve">XI de la Declaración Americana de los Derechos y Deberes del </w:t>
      </w:r>
      <w:r w:rsidR="00454C7F" w:rsidRPr="008F62B8">
        <w:rPr>
          <w:rFonts w:ascii="Verdana" w:eastAsiaTheme="minorHAnsi" w:hAnsi="Verdana" w:cs="Verdana"/>
          <w:sz w:val="20"/>
          <w:szCs w:val="20"/>
        </w:rPr>
        <w:t>Hombre</w:t>
      </w:r>
      <w:r w:rsidR="00765031" w:rsidRPr="008F62B8">
        <w:rPr>
          <w:rFonts w:ascii="Verdana" w:eastAsiaTheme="minorHAnsi" w:hAnsi="Verdana" w:cs="Verdana"/>
          <w:sz w:val="20"/>
          <w:szCs w:val="20"/>
        </w:rPr>
        <w:t xml:space="preserve"> (</w:t>
      </w:r>
      <w:r w:rsidR="00765031" w:rsidRPr="008F62B8">
        <w:rPr>
          <w:rFonts w:ascii="Verdana" w:eastAsiaTheme="minorHAnsi" w:hAnsi="Verdana" w:cs="Verdana"/>
          <w:i/>
          <w:sz w:val="20"/>
          <w:szCs w:val="20"/>
        </w:rPr>
        <w:t>supra</w:t>
      </w:r>
      <w:r w:rsidR="00765031" w:rsidRPr="008F62B8">
        <w:rPr>
          <w:rFonts w:ascii="Verdana" w:eastAsiaTheme="minorHAnsi" w:hAnsi="Verdana" w:cs="Verdana"/>
          <w:sz w:val="20"/>
          <w:szCs w:val="20"/>
        </w:rPr>
        <w:t xml:space="preserve"> </w:t>
      </w:r>
      <w:proofErr w:type="spellStart"/>
      <w:r w:rsidR="00765031" w:rsidRPr="008F62B8">
        <w:rPr>
          <w:rFonts w:ascii="Verdana" w:eastAsiaTheme="minorHAnsi" w:hAnsi="Verdana" w:cs="Verdana"/>
          <w:sz w:val="20"/>
          <w:szCs w:val="20"/>
        </w:rPr>
        <w:t>párrs</w:t>
      </w:r>
      <w:proofErr w:type="spellEnd"/>
      <w:r w:rsidR="00765031" w:rsidRPr="008F62B8">
        <w:rPr>
          <w:rFonts w:ascii="Verdana" w:eastAsiaTheme="minorHAnsi" w:hAnsi="Verdana" w:cs="Verdana"/>
          <w:sz w:val="20"/>
          <w:szCs w:val="20"/>
        </w:rPr>
        <w:t xml:space="preserve">. 8-40 e </w:t>
      </w:r>
      <w:r w:rsidR="00765031" w:rsidRPr="008F62B8">
        <w:rPr>
          <w:rFonts w:ascii="Verdana" w:eastAsiaTheme="minorHAnsi" w:hAnsi="Verdana" w:cs="Verdana"/>
          <w:i/>
          <w:sz w:val="20"/>
          <w:szCs w:val="20"/>
        </w:rPr>
        <w:t>infra</w:t>
      </w:r>
      <w:r w:rsidR="00765031" w:rsidRPr="008F62B8">
        <w:rPr>
          <w:rFonts w:ascii="Verdana" w:eastAsiaTheme="minorHAnsi" w:hAnsi="Verdana" w:cs="Verdana"/>
          <w:sz w:val="20"/>
          <w:szCs w:val="20"/>
        </w:rPr>
        <w:t xml:space="preserve"> párr. 101 del presente voto)</w:t>
      </w:r>
      <w:r w:rsidR="00295000" w:rsidRPr="008F62B8">
        <w:rPr>
          <w:rFonts w:ascii="Verdana" w:eastAsiaTheme="minorHAnsi" w:hAnsi="Verdana" w:cs="Verdana"/>
          <w:sz w:val="20"/>
          <w:szCs w:val="20"/>
        </w:rPr>
        <w:t>.</w:t>
      </w:r>
      <w:r w:rsidR="00295000">
        <w:rPr>
          <w:rFonts w:ascii="Verdana" w:eastAsiaTheme="minorHAnsi" w:hAnsi="Verdana" w:cs="Verdana"/>
          <w:sz w:val="20"/>
          <w:szCs w:val="20"/>
        </w:rPr>
        <w:t xml:space="preserve"> </w:t>
      </w:r>
      <w:r w:rsidR="00454C7F" w:rsidRPr="005A4DF1">
        <w:rPr>
          <w:rFonts w:ascii="Verdana" w:eastAsiaTheme="minorHAnsi" w:hAnsi="Verdana" w:cs="Verdana"/>
          <w:sz w:val="20"/>
          <w:szCs w:val="20"/>
        </w:rPr>
        <w:t>De igual modo puede</w:t>
      </w:r>
      <w:r w:rsidR="00765031">
        <w:rPr>
          <w:rFonts w:ascii="Verdana" w:eastAsiaTheme="minorHAnsi" w:hAnsi="Verdana" w:cs="Verdana"/>
          <w:sz w:val="20"/>
          <w:szCs w:val="20"/>
        </w:rPr>
        <w:t>n</w:t>
      </w:r>
      <w:r w:rsidR="00454C7F" w:rsidRPr="005A4DF1">
        <w:rPr>
          <w:rFonts w:ascii="Verdana" w:eastAsiaTheme="minorHAnsi" w:hAnsi="Verdana" w:cs="Verdana"/>
          <w:sz w:val="20"/>
          <w:szCs w:val="20"/>
        </w:rPr>
        <w:t xml:space="preserve"> señalarse otras normas vinculadas a la protección de los derechos humanos que incluyen disposiciones sobre vivienda, como el artículo III.1.a. </w:t>
      </w:r>
      <w:proofErr w:type="gramStart"/>
      <w:r w:rsidR="00454C7F" w:rsidRPr="005A4DF1">
        <w:rPr>
          <w:rFonts w:ascii="Verdana" w:eastAsiaTheme="minorHAnsi" w:hAnsi="Verdana" w:cs="Verdana"/>
          <w:sz w:val="20"/>
          <w:szCs w:val="20"/>
        </w:rPr>
        <w:t>de</w:t>
      </w:r>
      <w:proofErr w:type="gramEnd"/>
      <w:r w:rsidR="00454C7F" w:rsidRPr="005A4DF1">
        <w:rPr>
          <w:rFonts w:ascii="Verdana" w:eastAsiaTheme="minorHAnsi" w:hAnsi="Verdana" w:cs="Verdana"/>
          <w:sz w:val="20"/>
          <w:szCs w:val="20"/>
        </w:rPr>
        <w:t xml:space="preserve"> la Convención Interamericana para la Eliminación de Todas las Formas de Discriminación contra las Personas con Discapacidad</w:t>
      </w:r>
      <w:r w:rsidR="00454C7F" w:rsidRPr="005A4DF1">
        <w:rPr>
          <w:rStyle w:val="FootnoteReference"/>
          <w:rFonts w:ascii="Verdana" w:eastAsiaTheme="minorHAnsi" w:hAnsi="Verdana" w:cs="Verdana"/>
          <w:sz w:val="20"/>
          <w:szCs w:val="20"/>
        </w:rPr>
        <w:footnoteReference w:id="59"/>
      </w:r>
      <w:r w:rsidR="00454C7F" w:rsidRPr="005A4DF1">
        <w:rPr>
          <w:rFonts w:ascii="Verdana" w:eastAsiaTheme="minorHAnsi" w:hAnsi="Verdana" w:cs="Verdana"/>
          <w:sz w:val="20"/>
          <w:szCs w:val="20"/>
        </w:rPr>
        <w:t xml:space="preserve"> y distintos artículos de la D</w:t>
      </w:r>
      <w:r w:rsidR="00295000">
        <w:rPr>
          <w:rFonts w:ascii="Verdana" w:eastAsiaTheme="minorHAnsi" w:hAnsi="Verdana" w:cs="Verdana"/>
          <w:sz w:val="20"/>
          <w:szCs w:val="20"/>
        </w:rPr>
        <w:t xml:space="preserve">eclaración Americana sobre los </w:t>
      </w:r>
      <w:r w:rsidR="00295000">
        <w:rPr>
          <w:rFonts w:ascii="Verdana" w:eastAsiaTheme="minorHAnsi" w:hAnsi="Verdana" w:cs="Verdana"/>
          <w:sz w:val="20"/>
          <w:szCs w:val="20"/>
        </w:rPr>
        <w:lastRenderedPageBreak/>
        <w:t>Derechos de los Pueblos I</w:t>
      </w:r>
      <w:r w:rsidR="00454C7F" w:rsidRPr="005A4DF1">
        <w:rPr>
          <w:rFonts w:ascii="Verdana" w:eastAsiaTheme="minorHAnsi" w:hAnsi="Verdana" w:cs="Verdana"/>
          <w:sz w:val="20"/>
          <w:szCs w:val="20"/>
        </w:rPr>
        <w:t>ndígenas</w:t>
      </w:r>
      <w:r w:rsidR="00454C7F" w:rsidRPr="005A4DF1">
        <w:rPr>
          <w:rStyle w:val="FootnoteReference"/>
          <w:rFonts w:ascii="Verdana" w:eastAsiaTheme="minorHAnsi" w:hAnsi="Verdana" w:cs="Verdana"/>
          <w:sz w:val="20"/>
          <w:szCs w:val="20"/>
        </w:rPr>
        <w:footnoteReference w:id="60"/>
      </w:r>
      <w:r w:rsidR="00454C7F" w:rsidRPr="005A4DF1">
        <w:rPr>
          <w:rFonts w:ascii="Verdana" w:eastAsiaTheme="minorHAnsi" w:hAnsi="Verdana" w:cs="Verdana"/>
          <w:sz w:val="20"/>
          <w:szCs w:val="20"/>
        </w:rPr>
        <w:t xml:space="preserve">. </w:t>
      </w:r>
    </w:p>
    <w:p w14:paraId="6D1813E4" w14:textId="77777777" w:rsidR="00454C7F" w:rsidRPr="005A4DF1" w:rsidRDefault="00454C7F" w:rsidP="00454C7F">
      <w:pPr>
        <w:widowControl w:val="0"/>
        <w:autoSpaceDE w:val="0"/>
        <w:autoSpaceDN w:val="0"/>
        <w:adjustRightInd w:val="0"/>
        <w:jc w:val="both"/>
        <w:rPr>
          <w:rFonts w:ascii="Verdana" w:eastAsiaTheme="minorHAnsi" w:hAnsi="Verdana" w:cs="Verdana"/>
          <w:sz w:val="20"/>
          <w:szCs w:val="20"/>
        </w:rPr>
      </w:pPr>
    </w:p>
    <w:p w14:paraId="4FC008AA" w14:textId="0A5F6DD8" w:rsidR="00454C7F" w:rsidRPr="005A4DF1" w:rsidRDefault="0017580F" w:rsidP="00454C7F">
      <w:pPr>
        <w:widowControl w:val="0"/>
        <w:autoSpaceDE w:val="0"/>
        <w:autoSpaceDN w:val="0"/>
        <w:adjustRightInd w:val="0"/>
        <w:jc w:val="both"/>
        <w:rPr>
          <w:rFonts w:ascii="Verdana" w:eastAsiaTheme="minorHAnsi" w:hAnsi="Verdana" w:cs="Verdana"/>
          <w:sz w:val="20"/>
          <w:szCs w:val="20"/>
        </w:rPr>
      </w:pPr>
      <w:r>
        <w:rPr>
          <w:rFonts w:ascii="Verdana" w:eastAsiaTheme="minorHAnsi" w:hAnsi="Verdana" w:cs="Verdana"/>
          <w:sz w:val="20"/>
          <w:szCs w:val="20"/>
        </w:rPr>
        <w:t>53</w:t>
      </w:r>
      <w:r w:rsidR="00295000">
        <w:rPr>
          <w:rFonts w:ascii="Verdana" w:eastAsiaTheme="minorHAnsi" w:hAnsi="Verdana" w:cs="Verdana"/>
          <w:sz w:val="20"/>
          <w:szCs w:val="20"/>
        </w:rPr>
        <w:t>.</w:t>
      </w:r>
      <w:r w:rsidR="00295000">
        <w:rPr>
          <w:rFonts w:ascii="Verdana" w:eastAsiaTheme="minorHAnsi" w:hAnsi="Verdana" w:cs="Verdana"/>
          <w:sz w:val="20"/>
          <w:szCs w:val="20"/>
        </w:rPr>
        <w:tab/>
        <w:t>Cabe notar, además,</w:t>
      </w:r>
      <w:r w:rsidR="00454C7F" w:rsidRPr="005A4DF1">
        <w:rPr>
          <w:rFonts w:ascii="Verdana" w:eastAsiaTheme="minorHAnsi" w:hAnsi="Verdana" w:cs="Verdana"/>
          <w:sz w:val="20"/>
          <w:szCs w:val="20"/>
        </w:rPr>
        <w:t xml:space="preserve"> el reconocimiento explícito del </w:t>
      </w:r>
      <w:r w:rsidR="00454C7F" w:rsidRPr="00765031">
        <w:rPr>
          <w:rFonts w:ascii="Verdana" w:eastAsiaTheme="minorHAnsi" w:hAnsi="Verdana" w:cs="Verdana"/>
          <w:i/>
          <w:sz w:val="20"/>
          <w:szCs w:val="20"/>
        </w:rPr>
        <w:t>derecho a la vivienda</w:t>
      </w:r>
      <w:r w:rsidR="00454C7F" w:rsidRPr="005A4DF1">
        <w:rPr>
          <w:rFonts w:ascii="Verdana" w:eastAsiaTheme="minorHAnsi" w:hAnsi="Verdana" w:cs="Verdana"/>
          <w:sz w:val="20"/>
          <w:szCs w:val="20"/>
        </w:rPr>
        <w:t xml:space="preserve"> que se ha postulado en la Convención Interamericana sobre la Protección de los Derechos Humanos de las Personas Mayores</w:t>
      </w:r>
      <w:r w:rsidR="00454C7F" w:rsidRPr="005A4DF1">
        <w:rPr>
          <w:rStyle w:val="FootnoteReference"/>
          <w:rFonts w:ascii="Verdana" w:eastAsiaTheme="minorHAnsi" w:hAnsi="Verdana"/>
          <w:sz w:val="20"/>
          <w:szCs w:val="20"/>
        </w:rPr>
        <w:footnoteReference w:id="61"/>
      </w:r>
      <w:r w:rsidR="00454C7F" w:rsidRPr="005A4DF1">
        <w:rPr>
          <w:rFonts w:ascii="Verdana" w:eastAsiaTheme="minorHAnsi" w:hAnsi="Verdana" w:cs="Verdana"/>
          <w:sz w:val="20"/>
          <w:szCs w:val="20"/>
        </w:rPr>
        <w:t>, cuyo artículo 24 se denomina, precisamente, “Derecho a la vivienda”</w:t>
      </w:r>
      <w:r w:rsidR="00454C7F" w:rsidRPr="005A4DF1">
        <w:rPr>
          <w:rStyle w:val="FootnoteReference"/>
          <w:rFonts w:ascii="Verdana" w:eastAsiaTheme="minorHAnsi" w:hAnsi="Verdana" w:cs="Verdana"/>
          <w:sz w:val="20"/>
          <w:szCs w:val="20"/>
        </w:rPr>
        <w:footnoteReference w:id="62"/>
      </w:r>
      <w:r w:rsidR="00295000">
        <w:rPr>
          <w:rFonts w:ascii="Verdana" w:eastAsiaTheme="minorHAnsi" w:hAnsi="Verdana" w:cs="Verdana"/>
          <w:sz w:val="20"/>
          <w:szCs w:val="20"/>
        </w:rPr>
        <w:t>;</w:t>
      </w:r>
      <w:r w:rsidR="00454C7F" w:rsidRPr="005A4DF1">
        <w:rPr>
          <w:rFonts w:ascii="Verdana" w:eastAsiaTheme="minorHAnsi" w:hAnsi="Verdana" w:cs="Verdana"/>
          <w:sz w:val="20"/>
          <w:szCs w:val="20"/>
        </w:rPr>
        <w:t xml:space="preserve"> incluyéndose además otras disposiciones que hacen explícita mención a la vivienda</w:t>
      </w:r>
      <w:r w:rsidR="00454C7F" w:rsidRPr="005A4DF1">
        <w:rPr>
          <w:rStyle w:val="FootnoteReference"/>
          <w:rFonts w:ascii="Verdana" w:eastAsiaTheme="minorHAnsi" w:hAnsi="Verdana" w:cs="Verdana"/>
          <w:sz w:val="20"/>
          <w:szCs w:val="20"/>
        </w:rPr>
        <w:footnoteReference w:id="63"/>
      </w:r>
      <w:r w:rsidR="002A5EAA">
        <w:rPr>
          <w:rFonts w:ascii="Verdana" w:eastAsiaTheme="minorHAnsi" w:hAnsi="Verdana" w:cs="Verdana"/>
          <w:sz w:val="20"/>
          <w:szCs w:val="20"/>
        </w:rPr>
        <w:t>.</w:t>
      </w:r>
      <w:r w:rsidR="00454C7F" w:rsidRPr="005A4DF1">
        <w:rPr>
          <w:rFonts w:ascii="Verdana" w:eastAsiaTheme="minorHAnsi" w:hAnsi="Verdana" w:cs="Verdana"/>
          <w:sz w:val="20"/>
          <w:szCs w:val="20"/>
        </w:rPr>
        <w:t xml:space="preserve"> Hay asimismo en el ámbito del Sistema Interamericano </w:t>
      </w:r>
      <w:r w:rsidR="00454C7F" w:rsidRPr="005A4DF1">
        <w:rPr>
          <w:rFonts w:ascii="Verdana" w:eastAsiaTheme="minorHAnsi" w:hAnsi="Verdana" w:cs="Verdana"/>
          <w:sz w:val="20"/>
          <w:szCs w:val="20"/>
        </w:rPr>
        <w:lastRenderedPageBreak/>
        <w:t>alusiones a la materia en otros tratados que todavía no han entrado en vigor</w:t>
      </w:r>
      <w:r w:rsidR="00454C7F" w:rsidRPr="005A4DF1">
        <w:rPr>
          <w:rStyle w:val="FootnoteReference"/>
          <w:rFonts w:ascii="Verdana" w:eastAsiaTheme="minorHAnsi" w:hAnsi="Verdana" w:cs="Verdana"/>
          <w:sz w:val="20"/>
          <w:szCs w:val="20"/>
        </w:rPr>
        <w:footnoteReference w:id="64"/>
      </w:r>
      <w:r w:rsidR="00454C7F" w:rsidRPr="005A4DF1">
        <w:rPr>
          <w:rFonts w:ascii="Verdana" w:eastAsiaTheme="minorHAnsi" w:hAnsi="Verdana" w:cs="Verdana"/>
          <w:sz w:val="20"/>
          <w:szCs w:val="20"/>
        </w:rPr>
        <w:t xml:space="preserve">. </w:t>
      </w:r>
    </w:p>
    <w:p w14:paraId="15193EE6" w14:textId="77777777" w:rsidR="00454C7F" w:rsidRPr="005A4DF1" w:rsidRDefault="00454C7F" w:rsidP="00454C7F">
      <w:pPr>
        <w:widowControl w:val="0"/>
        <w:autoSpaceDE w:val="0"/>
        <w:autoSpaceDN w:val="0"/>
        <w:adjustRightInd w:val="0"/>
        <w:jc w:val="both"/>
        <w:rPr>
          <w:rFonts w:ascii="Verdana" w:eastAsiaTheme="minorHAnsi" w:hAnsi="Verdana" w:cs="Verdana"/>
          <w:sz w:val="20"/>
          <w:szCs w:val="20"/>
        </w:rPr>
      </w:pPr>
    </w:p>
    <w:p w14:paraId="6FE58030" w14:textId="62F03356" w:rsidR="00454C7F" w:rsidRDefault="005A4DF1" w:rsidP="00DC791E">
      <w:pPr>
        <w:widowControl w:val="0"/>
        <w:autoSpaceDE w:val="0"/>
        <w:autoSpaceDN w:val="0"/>
        <w:adjustRightInd w:val="0"/>
        <w:jc w:val="both"/>
        <w:rPr>
          <w:rFonts w:ascii="Verdana" w:eastAsiaTheme="minorHAnsi" w:hAnsi="Verdana" w:cs="Verdana"/>
          <w:sz w:val="20"/>
          <w:szCs w:val="20"/>
        </w:rPr>
      </w:pPr>
      <w:r>
        <w:rPr>
          <w:rFonts w:ascii="Verdana" w:eastAsiaTheme="minorHAnsi" w:hAnsi="Verdana" w:cs="Verdana"/>
          <w:sz w:val="20"/>
          <w:szCs w:val="20"/>
        </w:rPr>
        <w:t>5</w:t>
      </w:r>
      <w:r w:rsidR="0017580F">
        <w:rPr>
          <w:rFonts w:ascii="Verdana" w:eastAsiaTheme="minorHAnsi" w:hAnsi="Verdana" w:cs="Verdana"/>
          <w:sz w:val="20"/>
          <w:szCs w:val="20"/>
        </w:rPr>
        <w:t>4</w:t>
      </w:r>
      <w:r w:rsidR="00454C7F" w:rsidRPr="005A4DF1">
        <w:rPr>
          <w:rFonts w:ascii="Verdana" w:eastAsiaTheme="minorHAnsi" w:hAnsi="Verdana" w:cs="Verdana"/>
          <w:sz w:val="20"/>
          <w:szCs w:val="20"/>
        </w:rPr>
        <w:t>.</w:t>
      </w:r>
      <w:r w:rsidR="00454C7F" w:rsidRPr="005A4DF1">
        <w:rPr>
          <w:rFonts w:ascii="Verdana" w:eastAsiaTheme="minorHAnsi" w:hAnsi="Verdana" w:cs="Verdana"/>
          <w:sz w:val="20"/>
          <w:szCs w:val="20"/>
        </w:rPr>
        <w:tab/>
        <w:t xml:space="preserve">Es de destacar que, como se ha </w:t>
      </w:r>
      <w:r w:rsidR="00454C7F" w:rsidRPr="008F62B8">
        <w:rPr>
          <w:rFonts w:ascii="Verdana" w:eastAsiaTheme="minorHAnsi" w:hAnsi="Verdana" w:cs="Verdana"/>
          <w:sz w:val="20"/>
          <w:szCs w:val="20"/>
        </w:rPr>
        <w:t>indicado (</w:t>
      </w:r>
      <w:r w:rsidR="00454C7F" w:rsidRPr="008F62B8">
        <w:rPr>
          <w:rFonts w:ascii="Verdana" w:eastAsiaTheme="minorHAnsi" w:hAnsi="Verdana" w:cs="Verdana"/>
          <w:i/>
          <w:sz w:val="20"/>
          <w:szCs w:val="20"/>
        </w:rPr>
        <w:t>supra</w:t>
      </w:r>
      <w:r w:rsidR="00454C7F" w:rsidRPr="008F62B8">
        <w:rPr>
          <w:rFonts w:ascii="Verdana" w:eastAsiaTheme="minorHAnsi" w:hAnsi="Verdana" w:cs="Verdana"/>
          <w:sz w:val="20"/>
          <w:szCs w:val="20"/>
        </w:rPr>
        <w:t xml:space="preserve"> </w:t>
      </w:r>
      <w:proofErr w:type="spellStart"/>
      <w:r w:rsidR="00454C7F" w:rsidRPr="008F62B8">
        <w:rPr>
          <w:rFonts w:ascii="Verdana" w:eastAsiaTheme="minorHAnsi" w:hAnsi="Verdana" w:cs="Verdana"/>
          <w:sz w:val="20"/>
          <w:szCs w:val="20"/>
        </w:rPr>
        <w:t>párr</w:t>
      </w:r>
      <w:r w:rsidR="00295000" w:rsidRPr="008F62B8">
        <w:rPr>
          <w:rFonts w:ascii="Verdana" w:eastAsiaTheme="minorHAnsi" w:hAnsi="Verdana" w:cs="Verdana"/>
          <w:sz w:val="20"/>
          <w:szCs w:val="20"/>
        </w:rPr>
        <w:t>s</w:t>
      </w:r>
      <w:proofErr w:type="spellEnd"/>
      <w:r w:rsidR="00454C7F" w:rsidRPr="008F62B8">
        <w:rPr>
          <w:rFonts w:ascii="Verdana" w:eastAsiaTheme="minorHAnsi" w:hAnsi="Verdana" w:cs="Verdana"/>
          <w:sz w:val="20"/>
          <w:szCs w:val="20"/>
        </w:rPr>
        <w:t xml:space="preserve">. </w:t>
      </w:r>
      <w:r w:rsidR="007F3BFB" w:rsidRPr="008F62B8">
        <w:rPr>
          <w:rFonts w:ascii="Verdana" w:eastAsiaTheme="minorHAnsi" w:hAnsi="Verdana" w:cs="Verdana"/>
          <w:sz w:val="20"/>
          <w:szCs w:val="20"/>
        </w:rPr>
        <w:t>5 y 28</w:t>
      </w:r>
      <w:r w:rsidR="00454C7F" w:rsidRPr="008F62B8">
        <w:rPr>
          <w:rFonts w:ascii="Verdana" w:eastAsiaTheme="minorHAnsi" w:hAnsi="Verdana" w:cs="Verdana"/>
          <w:sz w:val="20"/>
          <w:szCs w:val="20"/>
        </w:rPr>
        <w:t>), el Protocolo</w:t>
      </w:r>
      <w:r w:rsidR="00454C7F" w:rsidRPr="005A4DF1">
        <w:rPr>
          <w:rFonts w:ascii="Verdana" w:eastAsiaTheme="minorHAnsi" w:hAnsi="Verdana" w:cs="Verdana"/>
          <w:sz w:val="20"/>
          <w:szCs w:val="20"/>
        </w:rPr>
        <w:t xml:space="preserve"> de San Salvador no incluye en su articulado una norma directamente atinente al derecho a la vivienda</w:t>
      </w:r>
      <w:r w:rsidR="00454C7F" w:rsidRPr="005A4DF1">
        <w:rPr>
          <w:rStyle w:val="FootnoteReference"/>
          <w:rFonts w:ascii="Verdana" w:eastAsiaTheme="minorHAnsi" w:hAnsi="Verdana" w:cs="Verdana"/>
          <w:sz w:val="20"/>
          <w:szCs w:val="20"/>
        </w:rPr>
        <w:footnoteReference w:id="65"/>
      </w:r>
      <w:r w:rsidR="00454C7F" w:rsidRPr="005A4DF1">
        <w:rPr>
          <w:rFonts w:ascii="Verdana" w:eastAsiaTheme="minorHAnsi" w:hAnsi="Verdana" w:cs="Verdana"/>
          <w:sz w:val="20"/>
          <w:szCs w:val="20"/>
        </w:rPr>
        <w:t>.</w:t>
      </w:r>
    </w:p>
    <w:p w14:paraId="300A0AE6" w14:textId="77777777" w:rsidR="00C066E4" w:rsidRPr="00DC791E" w:rsidRDefault="00C066E4" w:rsidP="00DC791E">
      <w:pPr>
        <w:widowControl w:val="0"/>
        <w:autoSpaceDE w:val="0"/>
        <w:autoSpaceDN w:val="0"/>
        <w:adjustRightInd w:val="0"/>
        <w:jc w:val="both"/>
        <w:rPr>
          <w:rFonts w:ascii="Verdana" w:eastAsiaTheme="minorHAnsi" w:hAnsi="Verdana" w:cs="Verdana"/>
          <w:sz w:val="20"/>
          <w:szCs w:val="20"/>
        </w:rPr>
      </w:pPr>
    </w:p>
    <w:p w14:paraId="5273B682" w14:textId="35EB5750" w:rsidR="00454C7F" w:rsidRPr="005A4DF1" w:rsidRDefault="00454C7F" w:rsidP="00454C7F">
      <w:pPr>
        <w:pStyle w:val="ListParagraph"/>
        <w:ind w:left="567" w:firstLine="1"/>
        <w:contextualSpacing w:val="0"/>
        <w:jc w:val="both"/>
        <w:rPr>
          <w:rFonts w:ascii="Verdana" w:hAnsi="Verdana"/>
          <w:i/>
          <w:sz w:val="20"/>
          <w:szCs w:val="20"/>
          <w:u w:val="single"/>
        </w:rPr>
      </w:pPr>
      <w:r w:rsidRPr="005A4DF1">
        <w:rPr>
          <w:rFonts w:ascii="Verdana" w:hAnsi="Verdana"/>
          <w:i/>
          <w:sz w:val="20"/>
          <w:szCs w:val="20"/>
          <w:u w:val="single"/>
        </w:rPr>
        <w:t>B</w:t>
      </w:r>
      <w:r w:rsidR="005A4DF1" w:rsidRPr="005A4DF1">
        <w:rPr>
          <w:rFonts w:ascii="Verdana" w:hAnsi="Verdana"/>
          <w:i/>
          <w:sz w:val="20"/>
          <w:szCs w:val="20"/>
          <w:u w:val="single"/>
        </w:rPr>
        <w:t>.</w:t>
      </w:r>
      <w:r w:rsidRPr="005A4DF1">
        <w:rPr>
          <w:rFonts w:ascii="Verdana" w:hAnsi="Verdana"/>
          <w:i/>
          <w:sz w:val="20"/>
          <w:szCs w:val="20"/>
          <w:u w:val="single"/>
        </w:rPr>
        <w:t xml:space="preserve"> Concepto y relación con otros derechos </w:t>
      </w:r>
    </w:p>
    <w:p w14:paraId="3C2D89D8" w14:textId="77777777" w:rsidR="00454C7F" w:rsidRPr="005A4DF1" w:rsidRDefault="00454C7F" w:rsidP="00454C7F">
      <w:pPr>
        <w:pStyle w:val="ListParagraph"/>
        <w:ind w:left="0"/>
        <w:contextualSpacing w:val="0"/>
        <w:jc w:val="both"/>
        <w:rPr>
          <w:rFonts w:ascii="Verdana" w:hAnsi="Verdana"/>
          <w:sz w:val="20"/>
          <w:szCs w:val="20"/>
        </w:rPr>
      </w:pPr>
    </w:p>
    <w:p w14:paraId="3A0DFD89" w14:textId="63FD6A7F" w:rsidR="00454C7F" w:rsidRPr="005A4DF1" w:rsidRDefault="0017580F" w:rsidP="00454C7F">
      <w:pPr>
        <w:pStyle w:val="ListParagraph"/>
        <w:ind w:left="0"/>
        <w:contextualSpacing w:val="0"/>
        <w:jc w:val="both"/>
        <w:rPr>
          <w:rFonts w:ascii="Verdana" w:hAnsi="Verdana"/>
          <w:sz w:val="20"/>
          <w:szCs w:val="20"/>
        </w:rPr>
      </w:pPr>
      <w:r>
        <w:rPr>
          <w:rFonts w:ascii="Verdana" w:hAnsi="Verdana"/>
          <w:sz w:val="20"/>
          <w:szCs w:val="20"/>
        </w:rPr>
        <w:t>55</w:t>
      </w:r>
      <w:r w:rsidR="00454C7F" w:rsidRPr="005A4DF1">
        <w:rPr>
          <w:rFonts w:ascii="Verdana" w:hAnsi="Verdana"/>
          <w:sz w:val="20"/>
          <w:szCs w:val="20"/>
        </w:rPr>
        <w:t>.</w:t>
      </w:r>
      <w:r w:rsidR="00454C7F" w:rsidRPr="005A4DF1">
        <w:rPr>
          <w:rFonts w:ascii="Verdana" w:hAnsi="Verdana"/>
          <w:sz w:val="20"/>
          <w:szCs w:val="20"/>
        </w:rPr>
        <w:tab/>
        <w:t xml:space="preserve">La Corte </w:t>
      </w:r>
      <w:r w:rsidR="002A5EAA">
        <w:rPr>
          <w:rFonts w:ascii="Verdana" w:hAnsi="Verdana"/>
          <w:sz w:val="20"/>
          <w:szCs w:val="20"/>
        </w:rPr>
        <w:t xml:space="preserve">IDH </w:t>
      </w:r>
      <w:r w:rsidR="00454C7F" w:rsidRPr="005A4DF1">
        <w:rPr>
          <w:rFonts w:ascii="Verdana" w:hAnsi="Verdana"/>
          <w:sz w:val="20"/>
          <w:szCs w:val="20"/>
        </w:rPr>
        <w:t>frecuentemente ha acudido a diversos instrumentos internacionales o pronunciamientos de otros órganos, inclusive ajenos al Sistema Interamericano, a fin de complementar la interpretación de las normas sobre las que tiene competencia</w:t>
      </w:r>
      <w:r w:rsidR="00454C7F" w:rsidRPr="005A4DF1">
        <w:rPr>
          <w:rStyle w:val="FootnoteReference"/>
          <w:rFonts w:ascii="Verdana" w:hAnsi="Verdana"/>
          <w:sz w:val="20"/>
          <w:szCs w:val="20"/>
        </w:rPr>
        <w:footnoteReference w:id="66"/>
      </w:r>
      <w:r w:rsidR="002A5EAA">
        <w:rPr>
          <w:rFonts w:ascii="Verdana" w:hAnsi="Verdana"/>
          <w:sz w:val="20"/>
          <w:szCs w:val="20"/>
        </w:rPr>
        <w:t>.</w:t>
      </w:r>
      <w:r w:rsidR="00454C7F" w:rsidRPr="005A4DF1">
        <w:rPr>
          <w:rFonts w:ascii="Verdana" w:hAnsi="Verdana"/>
          <w:sz w:val="20"/>
          <w:szCs w:val="20"/>
        </w:rPr>
        <w:t xml:space="preserve"> Es entonces acorde a la jurisprudencia de la Corte </w:t>
      </w:r>
      <w:r w:rsidR="00AE694A">
        <w:rPr>
          <w:rFonts w:ascii="Verdana" w:hAnsi="Verdana"/>
          <w:sz w:val="20"/>
          <w:szCs w:val="20"/>
        </w:rPr>
        <w:t>IDH considerar</w:t>
      </w:r>
      <w:r w:rsidR="00454C7F" w:rsidRPr="005A4DF1">
        <w:rPr>
          <w:rFonts w:ascii="Verdana" w:hAnsi="Verdana"/>
          <w:sz w:val="20"/>
          <w:szCs w:val="20"/>
        </w:rPr>
        <w:t xml:space="preserve"> como referenci</w:t>
      </w:r>
      <w:r w:rsidR="002551E2">
        <w:rPr>
          <w:rFonts w:ascii="Verdana" w:hAnsi="Verdana"/>
          <w:sz w:val="20"/>
          <w:szCs w:val="20"/>
        </w:rPr>
        <w:t>a lo señalado por el Comité DESC</w:t>
      </w:r>
      <w:r w:rsidR="00454C7F" w:rsidRPr="005A4DF1">
        <w:rPr>
          <w:rFonts w:ascii="Verdana" w:hAnsi="Verdana"/>
          <w:sz w:val="20"/>
          <w:szCs w:val="20"/>
        </w:rPr>
        <w:t>, como ya se ha hecho en diversas oportunidades</w:t>
      </w:r>
      <w:r w:rsidR="00454C7F" w:rsidRPr="005A4DF1">
        <w:rPr>
          <w:rStyle w:val="FootnoteReference"/>
          <w:rFonts w:ascii="Verdana" w:hAnsi="Verdana"/>
          <w:sz w:val="20"/>
          <w:szCs w:val="20"/>
        </w:rPr>
        <w:footnoteReference w:id="67"/>
      </w:r>
      <w:r w:rsidR="00AE694A">
        <w:rPr>
          <w:rFonts w:ascii="Verdana" w:hAnsi="Verdana"/>
          <w:sz w:val="20"/>
          <w:szCs w:val="20"/>
        </w:rPr>
        <w:t>.</w:t>
      </w:r>
      <w:r w:rsidR="00454C7F" w:rsidRPr="005A4DF1">
        <w:rPr>
          <w:rFonts w:ascii="Verdana" w:hAnsi="Verdana"/>
          <w:sz w:val="20"/>
          <w:szCs w:val="20"/>
        </w:rPr>
        <w:t xml:space="preserve"> Entiendo que lo dicho por este órgano es una guía importante, pues es el órgano autorizado para interpretar un tratado de alcance universal que integra la </w:t>
      </w:r>
      <w:r w:rsidR="00454C7F" w:rsidRPr="005A4DF1">
        <w:rPr>
          <w:rFonts w:ascii="Verdana" w:hAnsi="Verdana"/>
          <w:sz w:val="20"/>
          <w:szCs w:val="20"/>
        </w:rPr>
        <w:lastRenderedPageBreak/>
        <w:t>llamada “Carta Internacional de Derechos Humanos”</w:t>
      </w:r>
      <w:r w:rsidR="00454C7F" w:rsidRPr="005A4DF1">
        <w:rPr>
          <w:rStyle w:val="FootnoteReference"/>
          <w:rFonts w:ascii="Verdana" w:hAnsi="Verdana"/>
          <w:sz w:val="20"/>
          <w:szCs w:val="20"/>
        </w:rPr>
        <w:footnoteReference w:id="68"/>
      </w:r>
      <w:r w:rsidR="00454C7F" w:rsidRPr="005A4DF1">
        <w:rPr>
          <w:rFonts w:ascii="Verdana" w:hAnsi="Verdana"/>
          <w:sz w:val="20"/>
          <w:szCs w:val="20"/>
        </w:rPr>
        <w:t>, y cuya m</w:t>
      </w:r>
      <w:r w:rsidR="00AE694A">
        <w:rPr>
          <w:rFonts w:ascii="Verdana" w:hAnsi="Verdana"/>
          <w:sz w:val="20"/>
          <w:szCs w:val="20"/>
        </w:rPr>
        <w:t>ateria específica está constitui</w:t>
      </w:r>
      <w:r w:rsidR="00454C7F" w:rsidRPr="005A4DF1">
        <w:rPr>
          <w:rFonts w:ascii="Verdana" w:hAnsi="Verdana"/>
          <w:sz w:val="20"/>
          <w:szCs w:val="20"/>
        </w:rPr>
        <w:t>da po</w:t>
      </w:r>
      <w:r w:rsidR="00AE694A">
        <w:rPr>
          <w:rFonts w:ascii="Verdana" w:hAnsi="Verdana"/>
          <w:sz w:val="20"/>
          <w:szCs w:val="20"/>
        </w:rPr>
        <w:t>r los derechos económicos, soci</w:t>
      </w:r>
      <w:r w:rsidR="00454C7F" w:rsidRPr="005A4DF1">
        <w:rPr>
          <w:rFonts w:ascii="Verdana" w:hAnsi="Verdana"/>
          <w:sz w:val="20"/>
          <w:szCs w:val="20"/>
        </w:rPr>
        <w:t xml:space="preserve">ales y culturales. El Comité </w:t>
      </w:r>
      <w:r w:rsidR="002551E2">
        <w:rPr>
          <w:rFonts w:ascii="Verdana" w:hAnsi="Verdana"/>
          <w:sz w:val="20"/>
          <w:szCs w:val="20"/>
        </w:rPr>
        <w:t xml:space="preserve">DESC </w:t>
      </w:r>
      <w:r w:rsidR="00454C7F" w:rsidRPr="005A4DF1">
        <w:rPr>
          <w:rFonts w:ascii="Verdana" w:hAnsi="Verdana"/>
          <w:sz w:val="20"/>
          <w:szCs w:val="20"/>
        </w:rPr>
        <w:t>ha emitido dos Observaciones General</w:t>
      </w:r>
      <w:r w:rsidR="00AE694A">
        <w:rPr>
          <w:rFonts w:ascii="Verdana" w:hAnsi="Verdana"/>
          <w:sz w:val="20"/>
          <w:szCs w:val="20"/>
        </w:rPr>
        <w:t>e</w:t>
      </w:r>
      <w:r w:rsidR="00454C7F" w:rsidRPr="005A4DF1">
        <w:rPr>
          <w:rFonts w:ascii="Verdana" w:hAnsi="Verdana"/>
          <w:sz w:val="20"/>
          <w:szCs w:val="20"/>
        </w:rPr>
        <w:t>s</w:t>
      </w:r>
      <w:r w:rsidR="002551E2">
        <w:rPr>
          <w:rFonts w:ascii="Verdana" w:hAnsi="Verdana"/>
          <w:sz w:val="20"/>
          <w:szCs w:val="20"/>
        </w:rPr>
        <w:t xml:space="preserve"> sobre el derecho a la vivienda.</w:t>
      </w:r>
    </w:p>
    <w:p w14:paraId="45C430FC" w14:textId="77777777" w:rsidR="00454C7F" w:rsidRPr="005A4DF1" w:rsidRDefault="00454C7F" w:rsidP="00454C7F">
      <w:pPr>
        <w:pStyle w:val="ListParagraph"/>
        <w:ind w:left="0"/>
        <w:contextualSpacing w:val="0"/>
        <w:jc w:val="both"/>
        <w:rPr>
          <w:rFonts w:ascii="Verdana" w:hAnsi="Verdana"/>
          <w:sz w:val="20"/>
          <w:szCs w:val="20"/>
        </w:rPr>
      </w:pPr>
    </w:p>
    <w:p w14:paraId="78BF90A3" w14:textId="77777777" w:rsidR="002F649F" w:rsidRDefault="0017580F" w:rsidP="002551E2">
      <w:pPr>
        <w:pStyle w:val="ListParagraph"/>
        <w:ind w:left="0"/>
        <w:contextualSpacing w:val="0"/>
        <w:jc w:val="both"/>
        <w:rPr>
          <w:rFonts w:ascii="Verdana" w:hAnsi="Verdana"/>
          <w:sz w:val="20"/>
          <w:szCs w:val="20"/>
        </w:rPr>
      </w:pPr>
      <w:r>
        <w:rPr>
          <w:rFonts w:ascii="Verdana" w:hAnsi="Verdana"/>
          <w:sz w:val="20"/>
          <w:szCs w:val="20"/>
        </w:rPr>
        <w:t>56</w:t>
      </w:r>
      <w:r w:rsidR="00454C7F" w:rsidRPr="005A4DF1">
        <w:rPr>
          <w:rFonts w:ascii="Verdana" w:hAnsi="Verdana"/>
          <w:sz w:val="20"/>
          <w:szCs w:val="20"/>
        </w:rPr>
        <w:t>.</w:t>
      </w:r>
      <w:r w:rsidR="00454C7F" w:rsidRPr="005A4DF1">
        <w:rPr>
          <w:rFonts w:ascii="Verdana" w:hAnsi="Verdana"/>
          <w:sz w:val="20"/>
          <w:szCs w:val="20"/>
        </w:rPr>
        <w:tab/>
      </w:r>
      <w:r w:rsidR="002551E2">
        <w:rPr>
          <w:rFonts w:ascii="Verdana" w:hAnsi="Verdana"/>
          <w:sz w:val="20"/>
          <w:szCs w:val="20"/>
        </w:rPr>
        <w:t>En primer lugar, e</w:t>
      </w:r>
      <w:r w:rsidR="00454C7F" w:rsidRPr="005A4DF1">
        <w:rPr>
          <w:rFonts w:ascii="Verdana" w:hAnsi="Verdana"/>
          <w:sz w:val="20"/>
          <w:szCs w:val="20"/>
        </w:rPr>
        <w:t xml:space="preserve">n su Observación General No. 4 sobre el derecho a una vivienda </w:t>
      </w:r>
      <w:r w:rsidR="00AE694A">
        <w:rPr>
          <w:rFonts w:ascii="Verdana" w:hAnsi="Verdana"/>
          <w:sz w:val="20"/>
          <w:szCs w:val="20"/>
        </w:rPr>
        <w:t>a</w:t>
      </w:r>
      <w:r w:rsidR="002551E2">
        <w:rPr>
          <w:rFonts w:ascii="Verdana" w:hAnsi="Verdana"/>
          <w:sz w:val="20"/>
          <w:szCs w:val="20"/>
        </w:rPr>
        <w:t>decuada, el Comité DESC</w:t>
      </w:r>
      <w:r w:rsidR="00454C7F" w:rsidRPr="005A4DF1">
        <w:rPr>
          <w:rFonts w:ascii="Verdana" w:hAnsi="Verdana"/>
          <w:sz w:val="20"/>
          <w:szCs w:val="20"/>
        </w:rPr>
        <w:t xml:space="preserve"> ha entendido el derecho a la vivienda como el derecho “a vivir con seguridad, paz y dignidad en alguna parte”. Expresamente rechazó conceptuar al derecho “en un sentido estricto o restrictivo que lo equipare, por ejemplo, con el cobijo que resulta del mero hecho de tener un tejado por encima de la cabeza o lo considere exclusivamente como una comodidad”. Advirtiendo que “el derecho a la vivienda está vinculado por entero a otros derechos humanos y a los principios fundamentales que sirven de premisas al Pacto [Internacional de Derechos Econ</w:t>
      </w:r>
      <w:r w:rsidR="00AE694A">
        <w:rPr>
          <w:rFonts w:ascii="Verdana" w:hAnsi="Verdana"/>
          <w:sz w:val="20"/>
          <w:szCs w:val="20"/>
        </w:rPr>
        <w:t>ómicos, Sociales y Culturales]”;</w:t>
      </w:r>
      <w:r w:rsidR="00454C7F" w:rsidRPr="005A4DF1">
        <w:rPr>
          <w:rFonts w:ascii="Verdana" w:hAnsi="Verdana"/>
          <w:sz w:val="20"/>
          <w:szCs w:val="20"/>
        </w:rPr>
        <w:t xml:space="preserve"> señaló que “vivienda” es un concepto que “no se debe entender en sentido de </w:t>
      </w:r>
      <w:r w:rsidR="00454C7F" w:rsidRPr="005A4DF1">
        <w:rPr>
          <w:rFonts w:ascii="Verdana" w:hAnsi="Verdana" w:cs="Arial"/>
          <w:sz w:val="20"/>
          <w:szCs w:val="20"/>
          <w:lang w:val="es-ES"/>
        </w:rPr>
        <w:t>vivienda a secas, sino de vivienda adecuada”</w:t>
      </w:r>
      <w:r w:rsidR="00AE694A">
        <w:rPr>
          <w:rFonts w:ascii="Verdana" w:hAnsi="Verdana" w:cs="Arial"/>
          <w:sz w:val="20"/>
          <w:szCs w:val="20"/>
          <w:lang w:val="es-ES"/>
        </w:rPr>
        <w:t>,</w:t>
      </w:r>
      <w:r w:rsidR="00454C7F" w:rsidRPr="005A4DF1">
        <w:rPr>
          <w:rFonts w:ascii="Verdana" w:hAnsi="Verdana"/>
          <w:sz w:val="20"/>
          <w:szCs w:val="20"/>
        </w:rPr>
        <w:t xml:space="preserve"> indicando que ello</w:t>
      </w:r>
      <w:r w:rsidR="00AE694A">
        <w:rPr>
          <w:rFonts w:ascii="Verdana" w:hAnsi="Verdana"/>
          <w:sz w:val="20"/>
          <w:szCs w:val="20"/>
        </w:rPr>
        <w:t xml:space="preserve"> </w:t>
      </w:r>
      <w:r w:rsidR="00454C7F" w:rsidRPr="005A4DF1">
        <w:rPr>
          <w:rFonts w:ascii="Verdana" w:hAnsi="Verdana"/>
          <w:sz w:val="20"/>
          <w:szCs w:val="20"/>
        </w:rPr>
        <w:t>“significa disponer de un lugar donde poderse aislar si se desea, espacio adecuado, seguridad adecuada, iluminación y ventilación adecuadas, una infraestructura básica adecuada y una situación adecuada en relación con el trabajo y los servicios básicos, todo ello a un costo razonable”</w:t>
      </w:r>
      <w:r w:rsidR="00454C7F" w:rsidRPr="005A4DF1">
        <w:rPr>
          <w:rStyle w:val="FootnoteReference"/>
          <w:rFonts w:ascii="Verdana" w:hAnsi="Verdana"/>
          <w:sz w:val="20"/>
          <w:szCs w:val="20"/>
        </w:rPr>
        <w:footnoteReference w:id="69"/>
      </w:r>
      <w:r w:rsidR="00454C7F" w:rsidRPr="005A4DF1">
        <w:rPr>
          <w:rFonts w:ascii="Verdana" w:hAnsi="Verdana"/>
          <w:sz w:val="20"/>
          <w:szCs w:val="20"/>
        </w:rPr>
        <w:t xml:space="preserve">. </w:t>
      </w:r>
      <w:r w:rsidR="003E2C31">
        <w:rPr>
          <w:rFonts w:ascii="Verdana" w:hAnsi="Verdana"/>
          <w:sz w:val="20"/>
          <w:szCs w:val="20"/>
        </w:rPr>
        <w:t xml:space="preserve"> </w:t>
      </w:r>
    </w:p>
    <w:p w14:paraId="3344F07B" w14:textId="77777777" w:rsidR="002F649F" w:rsidRDefault="002F649F" w:rsidP="002551E2">
      <w:pPr>
        <w:pStyle w:val="ListParagraph"/>
        <w:ind w:left="0"/>
        <w:contextualSpacing w:val="0"/>
        <w:jc w:val="both"/>
        <w:rPr>
          <w:rFonts w:ascii="Verdana" w:hAnsi="Verdana"/>
          <w:sz w:val="20"/>
          <w:szCs w:val="20"/>
        </w:rPr>
      </w:pPr>
    </w:p>
    <w:p w14:paraId="5ABA24CE" w14:textId="76CA5C92" w:rsidR="002551E2" w:rsidRPr="00E75666" w:rsidRDefault="002F649F" w:rsidP="002551E2">
      <w:pPr>
        <w:pStyle w:val="ListParagraph"/>
        <w:ind w:left="0"/>
        <w:contextualSpacing w:val="0"/>
        <w:jc w:val="both"/>
        <w:rPr>
          <w:rFonts w:ascii="Verdana" w:hAnsi="Verdana"/>
          <w:sz w:val="20"/>
          <w:szCs w:val="20"/>
        </w:rPr>
      </w:pPr>
      <w:r>
        <w:rPr>
          <w:rFonts w:ascii="Verdana" w:hAnsi="Verdana"/>
          <w:sz w:val="20"/>
          <w:szCs w:val="20"/>
        </w:rPr>
        <w:t xml:space="preserve">57. </w:t>
      </w:r>
      <w:r>
        <w:rPr>
          <w:rFonts w:ascii="Verdana" w:hAnsi="Verdana"/>
          <w:sz w:val="20"/>
          <w:szCs w:val="20"/>
        </w:rPr>
        <w:tab/>
      </w:r>
      <w:r w:rsidR="002551E2" w:rsidRPr="002551E2">
        <w:rPr>
          <w:rFonts w:ascii="Verdana" w:hAnsi="Verdana"/>
          <w:sz w:val="20"/>
          <w:szCs w:val="20"/>
        </w:rPr>
        <w:t xml:space="preserve">En segundo lugar, y en similar sentido, en su Observación General No. 7, el Comité DESC consideró que el empleo de la expresión “desalojos forzosos”, en el contexto del derecho a la vivienda, era en cierto modo problemática; no obstante, consideró que tal como se emplea en esa Observación General, el término desalojos forzosos, </w:t>
      </w:r>
      <w:r w:rsidR="002551E2" w:rsidRPr="002551E2">
        <w:rPr>
          <w:rFonts w:ascii="Verdana" w:hAnsi="Verdana"/>
          <w:i/>
          <w:sz w:val="20"/>
          <w:szCs w:val="20"/>
        </w:rPr>
        <w:t>se define como el hecho de hacer salir a personas, familias y/o comunidades de sus hogares y/o tierras que ocupan, en forma permanente o provisional, sin ofrecerles los medios apropiados de protección legal o de otra índole ni permitirles acceso a ellos</w:t>
      </w:r>
      <w:r w:rsidR="002551E2" w:rsidRPr="002551E2">
        <w:rPr>
          <w:rStyle w:val="FootnoteReference"/>
          <w:rFonts w:ascii="Verdana" w:hAnsi="Verdana"/>
          <w:i/>
          <w:sz w:val="20"/>
          <w:szCs w:val="20"/>
        </w:rPr>
        <w:footnoteReference w:id="70"/>
      </w:r>
      <w:r w:rsidR="002551E2" w:rsidRPr="002551E2">
        <w:rPr>
          <w:rFonts w:ascii="Verdana" w:hAnsi="Verdana"/>
          <w:i/>
          <w:sz w:val="20"/>
          <w:szCs w:val="20"/>
        </w:rPr>
        <w:t>.</w:t>
      </w:r>
      <w:r w:rsidR="002551E2" w:rsidRPr="002551E2">
        <w:rPr>
          <w:rFonts w:ascii="Verdana" w:hAnsi="Verdana"/>
          <w:sz w:val="20"/>
          <w:szCs w:val="20"/>
        </w:rPr>
        <w:t xml:space="preserve"> En la misma Observación General, el Comité DESC señaló que muchos de los casos de desalojos forzosos se encuentran vinculados con la violencia, por ejemplo, por conflictos armados internacionales, las disensiones internas y la violencia comunitaria o étnica</w:t>
      </w:r>
      <w:r w:rsidR="002551E2" w:rsidRPr="002551E2">
        <w:rPr>
          <w:rStyle w:val="FootnoteReference"/>
          <w:rFonts w:ascii="Verdana" w:hAnsi="Verdana"/>
          <w:sz w:val="20"/>
          <w:szCs w:val="20"/>
        </w:rPr>
        <w:footnoteReference w:id="71"/>
      </w:r>
      <w:r w:rsidR="002551E2" w:rsidRPr="002551E2">
        <w:rPr>
          <w:rFonts w:ascii="Verdana" w:hAnsi="Verdana"/>
          <w:sz w:val="20"/>
          <w:szCs w:val="20"/>
        </w:rPr>
        <w:t>. Los desalojos forzosos también se producen en relación con traslados forzados de población, desplazamientos internos, reasentamientos forzados en casos de conflicto armado, etc. En todas estas circunstancias puede haber una violación del derecho a una vivienda adecuada y a la protección contra el desalojo forzoso a causa de una serie de actos u omisiones atribuibles a los Estados Partes</w:t>
      </w:r>
      <w:r w:rsidR="002551E2" w:rsidRPr="002551E2">
        <w:rPr>
          <w:rStyle w:val="FootnoteReference"/>
          <w:rFonts w:ascii="Verdana" w:hAnsi="Verdana"/>
          <w:sz w:val="20"/>
          <w:szCs w:val="20"/>
        </w:rPr>
        <w:footnoteReference w:id="72"/>
      </w:r>
      <w:r w:rsidR="002551E2" w:rsidRPr="002551E2">
        <w:rPr>
          <w:rFonts w:ascii="Verdana" w:hAnsi="Verdana"/>
          <w:sz w:val="20"/>
          <w:szCs w:val="20"/>
        </w:rPr>
        <w:t xml:space="preserve">. </w:t>
      </w:r>
      <w:r w:rsidR="002551E2" w:rsidRPr="002551E2">
        <w:rPr>
          <w:rFonts w:ascii="Verdana" w:hAnsi="Verdana"/>
          <w:b/>
          <w:i/>
          <w:sz w:val="20"/>
          <w:szCs w:val="20"/>
        </w:rPr>
        <w:t xml:space="preserve"> </w:t>
      </w:r>
      <w:r w:rsidR="002551E2" w:rsidRPr="002551E2">
        <w:rPr>
          <w:rFonts w:ascii="Verdana" w:hAnsi="Verdana"/>
          <w:i/>
          <w:sz w:val="20"/>
          <w:szCs w:val="20"/>
        </w:rPr>
        <w:t xml:space="preserve"> Adicionalmente señaló que dada la interrelación y la interdependencia que existen entre todos los derechos humanos, los desalojos forzosos también pueden dar lugar a </w:t>
      </w:r>
      <w:r w:rsidR="002551E2" w:rsidRPr="002551E2">
        <w:rPr>
          <w:rFonts w:ascii="Verdana" w:hAnsi="Verdana"/>
          <w:i/>
          <w:sz w:val="20"/>
          <w:szCs w:val="20"/>
        </w:rPr>
        <w:lastRenderedPageBreak/>
        <w:t>violaciones a derechos civiles y políticos como</w:t>
      </w:r>
      <w:r w:rsidR="002551E2" w:rsidRPr="002551E2">
        <w:rPr>
          <w:rFonts w:ascii="Verdana" w:hAnsi="Verdana"/>
          <w:sz w:val="20"/>
          <w:szCs w:val="20"/>
        </w:rPr>
        <w:t xml:space="preserve"> el derecho a la vida, a la seguridad personal, a la prohibición de injerencias arbitrarias en la vida privada, la familia y el hogar y</w:t>
      </w:r>
      <w:r w:rsidR="002551E2" w:rsidRPr="002551E2">
        <w:rPr>
          <w:rFonts w:ascii="Verdana" w:hAnsi="Verdana"/>
          <w:i/>
          <w:sz w:val="20"/>
          <w:szCs w:val="20"/>
        </w:rPr>
        <w:t xml:space="preserve"> el derecho a disfrutar en paz de bienes propios</w:t>
      </w:r>
      <w:r w:rsidR="002551E2" w:rsidRPr="002551E2">
        <w:rPr>
          <w:rStyle w:val="FootnoteReference"/>
          <w:rFonts w:ascii="Verdana" w:hAnsi="Verdana"/>
          <w:sz w:val="20"/>
          <w:szCs w:val="20"/>
        </w:rPr>
        <w:footnoteReference w:id="73"/>
      </w:r>
      <w:r w:rsidR="002551E2" w:rsidRPr="002551E2">
        <w:rPr>
          <w:rFonts w:ascii="Verdana" w:hAnsi="Verdana"/>
          <w:sz w:val="20"/>
          <w:szCs w:val="20"/>
        </w:rPr>
        <w:t>.</w:t>
      </w:r>
      <w:r w:rsidR="002551E2" w:rsidRPr="00E75666">
        <w:rPr>
          <w:rFonts w:ascii="Verdana" w:hAnsi="Verdana"/>
          <w:sz w:val="20"/>
          <w:szCs w:val="20"/>
        </w:rPr>
        <w:t xml:space="preserve"> </w:t>
      </w:r>
    </w:p>
    <w:p w14:paraId="6C5AD6C0" w14:textId="77777777" w:rsidR="00454C7F" w:rsidRPr="005A4DF1" w:rsidRDefault="00454C7F" w:rsidP="003E2C31">
      <w:pPr>
        <w:tabs>
          <w:tab w:val="left" w:pos="-142"/>
          <w:tab w:val="left" w:pos="9356"/>
        </w:tabs>
        <w:ind w:right="4"/>
        <w:jc w:val="both"/>
        <w:rPr>
          <w:rFonts w:ascii="Verdana" w:hAnsi="Verdana"/>
          <w:i/>
          <w:sz w:val="20"/>
          <w:szCs w:val="20"/>
        </w:rPr>
      </w:pPr>
    </w:p>
    <w:p w14:paraId="73ED6B4C" w14:textId="782278E6" w:rsidR="00454C7F" w:rsidRPr="005A4DF1" w:rsidRDefault="002551E2" w:rsidP="00454C7F">
      <w:pPr>
        <w:tabs>
          <w:tab w:val="left" w:pos="709"/>
          <w:tab w:val="left" w:pos="9356"/>
        </w:tabs>
        <w:ind w:right="4"/>
        <w:jc w:val="both"/>
        <w:rPr>
          <w:rFonts w:ascii="Verdana" w:eastAsiaTheme="minorHAnsi" w:hAnsi="Verdana"/>
          <w:sz w:val="20"/>
          <w:szCs w:val="20"/>
          <w:lang w:eastAsia="es-ES_tradnl"/>
        </w:rPr>
      </w:pPr>
      <w:r>
        <w:rPr>
          <w:rFonts w:ascii="Verdana" w:hAnsi="Verdana"/>
          <w:sz w:val="20"/>
          <w:szCs w:val="20"/>
        </w:rPr>
        <w:t>58</w:t>
      </w:r>
      <w:r w:rsidR="00454C7F" w:rsidRPr="005A4DF1">
        <w:rPr>
          <w:rFonts w:ascii="Verdana" w:hAnsi="Verdana"/>
          <w:sz w:val="20"/>
          <w:szCs w:val="20"/>
        </w:rPr>
        <w:t>.</w:t>
      </w:r>
      <w:r w:rsidR="00454C7F" w:rsidRPr="005A4DF1">
        <w:rPr>
          <w:rFonts w:ascii="Verdana" w:hAnsi="Verdana"/>
          <w:sz w:val="20"/>
          <w:szCs w:val="20"/>
        </w:rPr>
        <w:tab/>
      </w:r>
      <w:r>
        <w:rPr>
          <w:rFonts w:ascii="Verdana" w:hAnsi="Verdana"/>
          <w:sz w:val="20"/>
          <w:szCs w:val="20"/>
        </w:rPr>
        <w:t>Por su parte, l</w:t>
      </w:r>
      <w:r w:rsidR="00454C7F" w:rsidRPr="005A4DF1">
        <w:rPr>
          <w:rFonts w:ascii="Verdana" w:hAnsi="Verdana"/>
          <w:sz w:val="20"/>
          <w:szCs w:val="20"/>
        </w:rPr>
        <w:t xml:space="preserve">a Relatora Especial </w:t>
      </w:r>
      <w:r>
        <w:rPr>
          <w:rFonts w:ascii="Verdana" w:hAnsi="Verdana"/>
          <w:sz w:val="20"/>
          <w:szCs w:val="20"/>
        </w:rPr>
        <w:t>ha enfatizado que el Comité DESC</w:t>
      </w:r>
      <w:r w:rsidR="00454C7F" w:rsidRPr="005A4DF1">
        <w:rPr>
          <w:rFonts w:ascii="Verdana" w:hAnsi="Verdana"/>
          <w:sz w:val="20"/>
          <w:szCs w:val="20"/>
        </w:rPr>
        <w:t xml:space="preserve"> “</w:t>
      </w:r>
      <w:r w:rsidR="00454C7F" w:rsidRPr="005A4DF1">
        <w:rPr>
          <w:rFonts w:ascii="Verdana" w:eastAsiaTheme="minorHAnsi" w:hAnsi="Verdana"/>
          <w:sz w:val="20"/>
          <w:szCs w:val="20"/>
          <w:lang w:eastAsia="es-ES_tradnl"/>
        </w:rPr>
        <w:t xml:space="preserve">rechazó las definiciones de vivienda adecuada que se centraban en el cobijo </w:t>
      </w:r>
      <w:r w:rsidR="002F649F" w:rsidRPr="005A4DF1">
        <w:rPr>
          <w:rFonts w:ascii="Verdana" w:eastAsiaTheme="minorHAnsi" w:hAnsi="Verdana"/>
          <w:sz w:val="20"/>
          <w:szCs w:val="20"/>
          <w:lang w:eastAsia="es-ES_tradnl"/>
        </w:rPr>
        <w:t>físico</w:t>
      </w:r>
      <w:r w:rsidR="00454C7F" w:rsidRPr="005A4DF1">
        <w:rPr>
          <w:rFonts w:ascii="Verdana" w:eastAsiaTheme="minorHAnsi" w:hAnsi="Verdana"/>
          <w:sz w:val="20"/>
          <w:szCs w:val="20"/>
          <w:lang w:eastAsia="es-ES_tradnl"/>
        </w:rPr>
        <w:t xml:space="preserve"> y adoptó en su lugar una </w:t>
      </w:r>
      <w:r w:rsidR="002F649F" w:rsidRPr="005A4DF1">
        <w:rPr>
          <w:rFonts w:ascii="Verdana" w:eastAsiaTheme="minorHAnsi" w:hAnsi="Verdana"/>
          <w:sz w:val="20"/>
          <w:szCs w:val="20"/>
          <w:lang w:eastAsia="es-ES_tradnl"/>
        </w:rPr>
        <w:t>definición</w:t>
      </w:r>
      <w:r w:rsidR="00454C7F" w:rsidRPr="005A4DF1">
        <w:rPr>
          <w:rFonts w:ascii="Verdana" w:eastAsiaTheme="minorHAnsi" w:hAnsi="Verdana"/>
          <w:sz w:val="20"/>
          <w:szCs w:val="20"/>
          <w:lang w:eastAsia="es-ES_tradnl"/>
        </w:rPr>
        <w:t xml:space="preserve"> vinculada directamente al derecho a la vida”</w:t>
      </w:r>
      <w:r w:rsidR="00454C7F" w:rsidRPr="005A4DF1">
        <w:rPr>
          <w:rStyle w:val="FootnoteReference"/>
          <w:rFonts w:ascii="Verdana" w:eastAsiaTheme="minorHAnsi" w:hAnsi="Verdana"/>
          <w:sz w:val="20"/>
          <w:szCs w:val="20"/>
          <w:lang w:eastAsia="es-ES_tradnl"/>
        </w:rPr>
        <w:footnoteReference w:id="74"/>
      </w:r>
      <w:r w:rsidR="00AE694A">
        <w:rPr>
          <w:rFonts w:ascii="Verdana" w:eastAsiaTheme="minorHAnsi" w:hAnsi="Verdana"/>
          <w:sz w:val="20"/>
          <w:szCs w:val="20"/>
          <w:lang w:eastAsia="es-ES_tradnl"/>
        </w:rPr>
        <w:t>;</w:t>
      </w:r>
      <w:r w:rsidR="00454C7F" w:rsidRPr="005A4DF1">
        <w:rPr>
          <w:rFonts w:ascii="Verdana" w:eastAsiaTheme="minorHAnsi" w:hAnsi="Verdana"/>
          <w:sz w:val="20"/>
          <w:szCs w:val="20"/>
          <w:lang w:eastAsia="es-ES_tradnl"/>
        </w:rPr>
        <w:t xml:space="preserve"> y </w:t>
      </w:r>
      <w:r w:rsidR="00454C7F" w:rsidRPr="005A4DF1">
        <w:rPr>
          <w:rFonts w:ascii="Verdana" w:hAnsi="Verdana"/>
          <w:sz w:val="20"/>
          <w:szCs w:val="20"/>
        </w:rPr>
        <w:t xml:space="preserve">ha dicho también que “la vivienda adecuada, la dignidad, la seguridad y la vida </w:t>
      </w:r>
      <w:r w:rsidR="002F649F" w:rsidRPr="005A4DF1">
        <w:rPr>
          <w:rFonts w:ascii="Verdana" w:hAnsi="Verdana"/>
          <w:sz w:val="20"/>
          <w:szCs w:val="20"/>
        </w:rPr>
        <w:t>están</w:t>
      </w:r>
      <w:r w:rsidR="00454C7F" w:rsidRPr="005A4DF1">
        <w:rPr>
          <w:rFonts w:ascii="Verdana" w:hAnsi="Verdana"/>
          <w:sz w:val="20"/>
          <w:szCs w:val="20"/>
        </w:rPr>
        <w:t xml:space="preserve"> tan estrechamente interrelacionados </w:t>
      </w:r>
      <w:r w:rsidR="00AE694A">
        <w:rPr>
          <w:rFonts w:ascii="Verdana" w:hAnsi="Verdana"/>
          <w:sz w:val="20"/>
          <w:szCs w:val="20"/>
        </w:rPr>
        <w:t>y que son esencialmente</w:t>
      </w:r>
      <w:r w:rsidR="00454C7F" w:rsidRPr="005A4DF1">
        <w:rPr>
          <w:rFonts w:ascii="Verdana" w:hAnsi="Verdana"/>
          <w:sz w:val="20"/>
          <w:szCs w:val="20"/>
        </w:rPr>
        <w:t xml:space="preserve"> inseparables. </w:t>
      </w:r>
      <w:r w:rsidR="002F649F" w:rsidRPr="005A4DF1">
        <w:rPr>
          <w:rFonts w:ascii="Verdana" w:hAnsi="Verdana"/>
          <w:sz w:val="20"/>
          <w:szCs w:val="20"/>
        </w:rPr>
        <w:t>As</w:t>
      </w:r>
      <w:r w:rsidR="00A66BA0">
        <w:rPr>
          <w:rFonts w:ascii="Verdana" w:hAnsi="Verdana"/>
          <w:sz w:val="20"/>
          <w:szCs w:val="20"/>
        </w:rPr>
        <w:t>í</w:t>
      </w:r>
      <w:r w:rsidR="00454C7F" w:rsidRPr="005A4DF1">
        <w:rPr>
          <w:rFonts w:ascii="Verdana" w:hAnsi="Verdana"/>
          <w:sz w:val="20"/>
          <w:szCs w:val="20"/>
        </w:rPr>
        <w:t xml:space="preserve"> sucede </w:t>
      </w:r>
      <w:r w:rsidR="002F649F" w:rsidRPr="005A4DF1">
        <w:rPr>
          <w:rFonts w:ascii="Verdana" w:hAnsi="Verdana"/>
          <w:sz w:val="20"/>
          <w:szCs w:val="20"/>
        </w:rPr>
        <w:t>también</w:t>
      </w:r>
      <w:r w:rsidR="00454C7F" w:rsidRPr="005A4DF1">
        <w:rPr>
          <w:rFonts w:ascii="Verdana" w:hAnsi="Verdana"/>
          <w:sz w:val="20"/>
          <w:szCs w:val="20"/>
        </w:rPr>
        <w:t xml:space="preserve"> con el derecho internacional de los derechos humanos. El derecho a la vida no puede separarse del derecho a un lugar seguro en el que vivir, y este segundo derecho solo tiene sentido en el contexto de un derecho a vivir con dignidad y seguridad, sin violencia”</w:t>
      </w:r>
      <w:r w:rsidR="00454C7F" w:rsidRPr="005A4DF1">
        <w:rPr>
          <w:rStyle w:val="FootnoteReference"/>
          <w:rFonts w:ascii="Verdana" w:hAnsi="Verdana"/>
          <w:sz w:val="20"/>
          <w:szCs w:val="20"/>
        </w:rPr>
        <w:footnoteReference w:id="75"/>
      </w:r>
      <w:r w:rsidR="00454C7F" w:rsidRPr="005A4DF1">
        <w:rPr>
          <w:rFonts w:ascii="Verdana" w:hAnsi="Verdana"/>
          <w:sz w:val="20"/>
          <w:szCs w:val="20"/>
        </w:rPr>
        <w:t>.</w:t>
      </w:r>
    </w:p>
    <w:p w14:paraId="763A4402" w14:textId="77777777" w:rsidR="00454C7F" w:rsidRPr="005A4DF1" w:rsidRDefault="00454C7F" w:rsidP="00454C7F">
      <w:pPr>
        <w:tabs>
          <w:tab w:val="left" w:pos="709"/>
          <w:tab w:val="left" w:pos="9356"/>
        </w:tabs>
        <w:ind w:right="4"/>
        <w:jc w:val="both"/>
        <w:rPr>
          <w:rFonts w:ascii="Verdana" w:hAnsi="Verdana"/>
          <w:sz w:val="20"/>
          <w:szCs w:val="20"/>
        </w:rPr>
      </w:pPr>
    </w:p>
    <w:p w14:paraId="0C50ED8E" w14:textId="17B60574" w:rsidR="00C066E4" w:rsidRDefault="003E2C31" w:rsidP="00C066E4">
      <w:pPr>
        <w:tabs>
          <w:tab w:val="left" w:pos="709"/>
          <w:tab w:val="left" w:pos="9356"/>
        </w:tabs>
        <w:ind w:right="4"/>
        <w:jc w:val="both"/>
        <w:rPr>
          <w:rFonts w:ascii="Verdana" w:eastAsiaTheme="minorHAnsi" w:hAnsi="Verdana"/>
          <w:sz w:val="20"/>
          <w:szCs w:val="20"/>
          <w:lang w:eastAsia="es-ES_tradnl"/>
        </w:rPr>
      </w:pPr>
      <w:r>
        <w:rPr>
          <w:rFonts w:ascii="Verdana" w:hAnsi="Verdana"/>
          <w:sz w:val="20"/>
          <w:szCs w:val="20"/>
        </w:rPr>
        <w:t>59</w:t>
      </w:r>
      <w:r w:rsidR="00454C7F" w:rsidRPr="005A4DF1">
        <w:rPr>
          <w:rFonts w:ascii="Verdana" w:hAnsi="Verdana"/>
          <w:sz w:val="20"/>
          <w:szCs w:val="20"/>
        </w:rPr>
        <w:t>.</w:t>
      </w:r>
      <w:r w:rsidR="00454C7F" w:rsidRPr="005A4DF1">
        <w:rPr>
          <w:rFonts w:ascii="Verdana" w:hAnsi="Verdana"/>
          <w:sz w:val="20"/>
          <w:szCs w:val="20"/>
        </w:rPr>
        <w:tab/>
        <w:t>La afirmación precedente es acorde a un concepto ya bien establecido, y que puede observarse en e</w:t>
      </w:r>
      <w:r w:rsidR="00454C7F" w:rsidRPr="005A4DF1">
        <w:rPr>
          <w:rFonts w:ascii="Verdana" w:hAnsi="Verdana"/>
          <w:sz w:val="20"/>
          <w:szCs w:val="20"/>
          <w:lang w:val="es-CR"/>
        </w:rPr>
        <w:t xml:space="preserve">l párrafo 5 de la Declaración y Programa de Acción de Viena, aprobada por la Conferencia </w:t>
      </w:r>
      <w:r w:rsidR="00454C7F" w:rsidRPr="005A4DF1">
        <w:rPr>
          <w:rFonts w:ascii="Verdana" w:hAnsi="Verdana"/>
          <w:sz w:val="20"/>
          <w:szCs w:val="20"/>
        </w:rPr>
        <w:t>Mundial de Derechos Humanos el 25 de junio de 1993, que señaló en forma categórica que</w:t>
      </w:r>
      <w:r w:rsidR="00454C7F" w:rsidRPr="005A4DF1">
        <w:rPr>
          <w:rFonts w:ascii="Verdana" w:hAnsi="Verdana"/>
          <w:sz w:val="20"/>
          <w:szCs w:val="20"/>
          <w:lang w:val="es-CR"/>
        </w:rPr>
        <w:t xml:space="preserve">: </w:t>
      </w:r>
      <w:r w:rsidR="00454C7F" w:rsidRPr="005A4DF1">
        <w:rPr>
          <w:rFonts w:ascii="Verdana" w:hAnsi="Verdana"/>
          <w:sz w:val="20"/>
          <w:szCs w:val="20"/>
        </w:rPr>
        <w:t>“[t]</w:t>
      </w:r>
      <w:proofErr w:type="spellStart"/>
      <w:r w:rsidR="00454C7F" w:rsidRPr="005A4DF1">
        <w:rPr>
          <w:rFonts w:ascii="Verdana" w:hAnsi="Verdana"/>
          <w:sz w:val="20"/>
          <w:szCs w:val="20"/>
        </w:rPr>
        <w:t>odos</w:t>
      </w:r>
      <w:proofErr w:type="spellEnd"/>
      <w:r w:rsidR="00454C7F" w:rsidRPr="005A4DF1">
        <w:rPr>
          <w:rFonts w:ascii="Verdana" w:hAnsi="Verdana"/>
          <w:sz w:val="20"/>
          <w:szCs w:val="20"/>
        </w:rPr>
        <w:t xml:space="preserve"> los derechos humanos son universales, indivisibles e interdependientes y están relacionados entre sí. La comunidad internacional debe tratar los derechos humanos en forma global y de manera justa y equitativa, en pie de igualdad y dándoles a todos el mismo peso”.</w:t>
      </w:r>
      <w:r w:rsidR="00DC791E">
        <w:rPr>
          <w:rFonts w:ascii="Verdana" w:hAnsi="Verdana"/>
          <w:sz w:val="20"/>
          <w:szCs w:val="20"/>
        </w:rPr>
        <w:t xml:space="preserve"> </w:t>
      </w:r>
      <w:r w:rsidR="00454C7F" w:rsidRPr="005A4DF1">
        <w:rPr>
          <w:rFonts w:ascii="Verdana" w:eastAsiaTheme="minorHAnsi" w:hAnsi="Verdana"/>
          <w:sz w:val="20"/>
          <w:szCs w:val="20"/>
          <w:lang w:eastAsia="es-ES_tradnl"/>
        </w:rPr>
        <w:t>Como ha señalado la Relatora Especial la “</w:t>
      </w:r>
      <w:r w:rsidR="00DC791E" w:rsidRPr="005A4DF1">
        <w:rPr>
          <w:rFonts w:ascii="Verdana" w:eastAsiaTheme="minorHAnsi" w:hAnsi="Verdana"/>
          <w:sz w:val="20"/>
          <w:szCs w:val="20"/>
          <w:lang w:eastAsia="es-ES_tradnl"/>
        </w:rPr>
        <w:t>distinción</w:t>
      </w:r>
      <w:r w:rsidR="00454C7F" w:rsidRPr="005A4DF1">
        <w:rPr>
          <w:rFonts w:ascii="Verdana" w:eastAsiaTheme="minorHAnsi" w:hAnsi="Verdana"/>
          <w:sz w:val="20"/>
          <w:szCs w:val="20"/>
          <w:lang w:eastAsia="es-ES_tradnl"/>
        </w:rPr>
        <w:t xml:space="preserve"> ahora rechazada entre derechos de “primera” y “segunda” </w:t>
      </w:r>
      <w:r w:rsidR="00DC791E" w:rsidRPr="005A4DF1">
        <w:rPr>
          <w:rFonts w:ascii="Verdana" w:eastAsiaTheme="minorHAnsi" w:hAnsi="Verdana"/>
          <w:sz w:val="20"/>
          <w:szCs w:val="20"/>
          <w:lang w:eastAsia="es-ES_tradnl"/>
        </w:rPr>
        <w:t>generación</w:t>
      </w:r>
      <w:r w:rsidR="00454C7F" w:rsidRPr="005A4DF1">
        <w:rPr>
          <w:rFonts w:ascii="Verdana" w:eastAsiaTheme="minorHAnsi" w:hAnsi="Verdana"/>
          <w:sz w:val="20"/>
          <w:szCs w:val="20"/>
          <w:lang w:eastAsia="es-ES_tradnl"/>
        </w:rPr>
        <w:t xml:space="preserve">, entre derechos justiciables y objetivos </w:t>
      </w:r>
      <w:proofErr w:type="spellStart"/>
      <w:r w:rsidR="00454C7F" w:rsidRPr="005A4DF1">
        <w:rPr>
          <w:rFonts w:ascii="Verdana" w:eastAsiaTheme="minorHAnsi" w:hAnsi="Verdana"/>
          <w:sz w:val="20"/>
          <w:szCs w:val="20"/>
          <w:lang w:eastAsia="es-ES_tradnl"/>
        </w:rPr>
        <w:t>aspiracionales</w:t>
      </w:r>
      <w:proofErr w:type="spellEnd"/>
      <w:r w:rsidR="00454C7F" w:rsidRPr="005A4DF1">
        <w:rPr>
          <w:rFonts w:ascii="Verdana" w:eastAsiaTheme="minorHAnsi" w:hAnsi="Verdana"/>
          <w:sz w:val="20"/>
          <w:szCs w:val="20"/>
          <w:lang w:eastAsia="es-ES_tradnl"/>
        </w:rPr>
        <w:t xml:space="preserve">”, es “un legado de falsas </w:t>
      </w:r>
      <w:r w:rsidR="002F649F" w:rsidRPr="005A4DF1">
        <w:rPr>
          <w:rFonts w:ascii="Verdana" w:eastAsiaTheme="minorHAnsi" w:hAnsi="Verdana"/>
          <w:sz w:val="20"/>
          <w:szCs w:val="20"/>
          <w:lang w:eastAsia="es-ES_tradnl"/>
        </w:rPr>
        <w:t>dicotomías</w:t>
      </w:r>
      <w:r w:rsidR="00454C7F" w:rsidRPr="005A4DF1">
        <w:rPr>
          <w:rFonts w:ascii="Verdana" w:eastAsiaTheme="minorHAnsi" w:hAnsi="Verdana"/>
          <w:sz w:val="20"/>
          <w:szCs w:val="20"/>
          <w:lang w:eastAsia="es-ES_tradnl"/>
        </w:rPr>
        <w:t xml:space="preserve"> entre los dos [P]actos”</w:t>
      </w:r>
      <w:r w:rsidR="00454C7F" w:rsidRPr="005A4DF1">
        <w:rPr>
          <w:rStyle w:val="FootnoteReference"/>
          <w:rFonts w:ascii="Verdana" w:eastAsiaTheme="minorHAnsi" w:hAnsi="Verdana"/>
          <w:sz w:val="20"/>
          <w:szCs w:val="20"/>
          <w:lang w:eastAsia="es-ES_tradnl"/>
        </w:rPr>
        <w:footnoteReference w:id="76"/>
      </w:r>
      <w:r w:rsidR="00454C7F" w:rsidRPr="005A4DF1">
        <w:rPr>
          <w:rFonts w:ascii="Verdana" w:eastAsiaTheme="minorHAnsi" w:hAnsi="Verdana"/>
          <w:sz w:val="20"/>
          <w:szCs w:val="20"/>
          <w:lang w:eastAsia="es-ES_tradnl"/>
        </w:rPr>
        <w:t xml:space="preserve">; es decir, entre el Pacto Internacional de Derechos Civiles y Políticos y el Pacto Internacional de Derechos Económicos, Sociales y Culturales. </w:t>
      </w:r>
    </w:p>
    <w:p w14:paraId="3CFBF4B4" w14:textId="77777777" w:rsidR="00C066E4" w:rsidRPr="00C066E4" w:rsidRDefault="00C066E4" w:rsidP="00C066E4">
      <w:pPr>
        <w:tabs>
          <w:tab w:val="left" w:pos="709"/>
          <w:tab w:val="left" w:pos="9356"/>
        </w:tabs>
        <w:ind w:right="4"/>
        <w:jc w:val="both"/>
        <w:rPr>
          <w:rFonts w:ascii="Verdana" w:eastAsiaTheme="minorHAnsi" w:hAnsi="Verdana"/>
          <w:sz w:val="20"/>
          <w:szCs w:val="20"/>
          <w:lang w:eastAsia="es-ES_tradnl"/>
        </w:rPr>
      </w:pPr>
    </w:p>
    <w:p w14:paraId="60BC7F16" w14:textId="787D0592" w:rsidR="00454C7F" w:rsidRPr="003E2C31" w:rsidRDefault="003E2C31" w:rsidP="00C066E4">
      <w:pPr>
        <w:pStyle w:val="NormalWeb"/>
        <w:spacing w:before="0" w:beforeAutospacing="0" w:after="0" w:afterAutospacing="0"/>
        <w:jc w:val="both"/>
        <w:rPr>
          <w:rFonts w:ascii="Verdana" w:eastAsiaTheme="minorHAnsi" w:hAnsi="Verdana"/>
          <w:lang w:val="es-ES_tradnl" w:eastAsia="es-ES_tradnl"/>
        </w:rPr>
      </w:pPr>
      <w:r>
        <w:rPr>
          <w:rFonts w:ascii="Verdana" w:eastAsiaTheme="minorHAnsi" w:hAnsi="Verdana"/>
          <w:lang w:val="es-ES_tradnl" w:eastAsia="es-ES_tradnl"/>
        </w:rPr>
        <w:t>60</w:t>
      </w:r>
      <w:r w:rsidR="00454C7F" w:rsidRPr="005A4DF1">
        <w:rPr>
          <w:rFonts w:ascii="Verdana" w:eastAsiaTheme="minorHAnsi" w:hAnsi="Verdana"/>
          <w:lang w:val="es-ES_tradnl" w:eastAsia="es-ES_tradnl"/>
        </w:rPr>
        <w:t>.</w:t>
      </w:r>
      <w:r w:rsidR="00454C7F" w:rsidRPr="005A4DF1">
        <w:rPr>
          <w:rFonts w:ascii="Verdana" w:eastAsiaTheme="minorHAnsi" w:hAnsi="Verdana"/>
          <w:lang w:val="es-ES_tradnl" w:eastAsia="es-ES_tradnl"/>
        </w:rPr>
        <w:tab/>
      </w:r>
      <w:r>
        <w:rPr>
          <w:rFonts w:ascii="Verdana" w:eastAsiaTheme="minorHAnsi" w:hAnsi="Verdana"/>
          <w:lang w:val="es-ES_tradnl" w:eastAsia="es-ES_tradnl"/>
        </w:rPr>
        <w:t>De esta manera, c</w:t>
      </w:r>
      <w:r w:rsidR="00454C7F" w:rsidRPr="005A4DF1">
        <w:rPr>
          <w:rFonts w:ascii="Verdana" w:eastAsiaTheme="minorHAnsi" w:hAnsi="Verdana"/>
          <w:lang w:val="es-ES_tradnl" w:eastAsia="es-ES_tradnl"/>
        </w:rPr>
        <w:t xml:space="preserve">omparto </w:t>
      </w:r>
      <w:r>
        <w:rPr>
          <w:rFonts w:ascii="Verdana" w:eastAsiaTheme="minorHAnsi" w:hAnsi="Verdana"/>
          <w:lang w:val="es-ES_tradnl" w:eastAsia="es-ES_tradnl"/>
        </w:rPr>
        <w:t xml:space="preserve">plenamente </w:t>
      </w:r>
      <w:r w:rsidR="00454C7F" w:rsidRPr="005A4DF1">
        <w:rPr>
          <w:rFonts w:ascii="Verdana" w:eastAsiaTheme="minorHAnsi" w:hAnsi="Verdana"/>
          <w:lang w:val="es-ES_tradnl" w:eastAsia="es-ES_tradnl"/>
        </w:rPr>
        <w:t>la afirmación anterior</w:t>
      </w:r>
      <w:r w:rsidR="00AE694A">
        <w:rPr>
          <w:rFonts w:ascii="Verdana" w:eastAsiaTheme="minorHAnsi" w:hAnsi="Verdana"/>
          <w:lang w:val="es-ES_tradnl" w:eastAsia="es-ES_tradnl"/>
        </w:rPr>
        <w:t>. E</w:t>
      </w:r>
      <w:r w:rsidR="00454C7F" w:rsidRPr="005A4DF1">
        <w:rPr>
          <w:rFonts w:ascii="Verdana" w:eastAsiaTheme="minorHAnsi" w:hAnsi="Verdana"/>
          <w:lang w:val="es-ES_tradnl" w:eastAsia="es-ES_tradnl"/>
        </w:rPr>
        <w:t xml:space="preserve">videncia de ello es la estrecha relación entre distintos derechos, conforme lo que se expone seguidamente en relación con el derecho a la vivienda. </w:t>
      </w:r>
    </w:p>
    <w:p w14:paraId="28E774C2" w14:textId="77777777" w:rsidR="00C066E4" w:rsidRDefault="00C066E4" w:rsidP="00C066E4">
      <w:pPr>
        <w:pStyle w:val="NormalWeb"/>
        <w:spacing w:before="0" w:beforeAutospacing="0" w:after="0" w:afterAutospacing="0"/>
        <w:jc w:val="both"/>
        <w:rPr>
          <w:rFonts w:ascii="Verdana" w:eastAsiaTheme="minorHAnsi" w:hAnsi="Verdana"/>
          <w:lang w:val="es-ES_tradnl" w:eastAsia="es-ES_tradnl"/>
        </w:rPr>
      </w:pPr>
    </w:p>
    <w:p w14:paraId="7753C392" w14:textId="2F8612EF" w:rsidR="003E2C31" w:rsidRDefault="003E2C31" w:rsidP="00C066E4">
      <w:pPr>
        <w:pStyle w:val="NormalWeb"/>
        <w:spacing w:before="0" w:beforeAutospacing="0" w:after="0" w:afterAutospacing="0"/>
        <w:jc w:val="both"/>
        <w:rPr>
          <w:rFonts w:ascii="Verdana" w:hAnsi="Verdana"/>
        </w:rPr>
      </w:pPr>
      <w:r>
        <w:rPr>
          <w:rFonts w:ascii="Verdana" w:eastAsiaTheme="minorHAnsi" w:hAnsi="Verdana"/>
          <w:lang w:val="es-ES_tradnl" w:eastAsia="es-ES_tradnl"/>
        </w:rPr>
        <w:t>61</w:t>
      </w:r>
      <w:r w:rsidRPr="003E2C31">
        <w:rPr>
          <w:rFonts w:ascii="Verdana" w:eastAsiaTheme="minorHAnsi" w:hAnsi="Verdana"/>
          <w:lang w:val="es-ES_tradnl" w:eastAsia="es-ES_tradnl"/>
        </w:rPr>
        <w:t xml:space="preserve">. </w:t>
      </w:r>
      <w:r w:rsidRPr="003E2C31">
        <w:rPr>
          <w:rFonts w:ascii="Verdana" w:eastAsiaTheme="minorHAnsi" w:hAnsi="Verdana"/>
          <w:lang w:val="es-ES_tradnl" w:eastAsia="es-ES_tradnl"/>
        </w:rPr>
        <w:tab/>
      </w:r>
      <w:r w:rsidRPr="003E2C31">
        <w:rPr>
          <w:rFonts w:ascii="Verdana" w:hAnsi="Verdana"/>
        </w:rPr>
        <w:t xml:space="preserve">En cuando al Sistema Universal de Derechos Humanos, en la Comunicación </w:t>
      </w:r>
      <w:r w:rsidRPr="003E2C31">
        <w:rPr>
          <w:rFonts w:ascii="Verdana" w:hAnsi="Verdana"/>
          <w:i/>
        </w:rPr>
        <w:t xml:space="preserve">I.D.G. Vs. España </w:t>
      </w:r>
      <w:r w:rsidRPr="003E2C31">
        <w:rPr>
          <w:rFonts w:ascii="Verdana" w:hAnsi="Verdana"/>
        </w:rPr>
        <w:t xml:space="preserve">—primera comunicación a partir de la entrada en vigor del Protocolo Facultativo del PIDESC— el Comité DESC externó que el </w:t>
      </w:r>
      <w:r w:rsidRPr="003E2C31">
        <w:rPr>
          <w:rFonts w:ascii="Verdana" w:hAnsi="Verdana"/>
          <w:i/>
        </w:rPr>
        <w:t>derecho a la vivienda adecuada</w:t>
      </w:r>
      <w:r w:rsidRPr="003E2C31">
        <w:rPr>
          <w:rFonts w:ascii="Verdana" w:hAnsi="Verdana"/>
        </w:rPr>
        <w:t xml:space="preserve"> es un derecho fundamental que constituye la base para el disfrute de todos </w:t>
      </w:r>
      <w:r w:rsidRPr="003E2C31">
        <w:rPr>
          <w:rFonts w:ascii="Verdana" w:hAnsi="Verdana"/>
        </w:rPr>
        <w:lastRenderedPageBreak/>
        <w:t>los derechos económicos, sociales y culturales y está vinculado en su integridad a otros derechos humanos, incluyendo a aquellos establecidos en el Pacto Internacional de Derechos Civiles y Políticos</w:t>
      </w:r>
      <w:r w:rsidRPr="003E2C31">
        <w:rPr>
          <w:rStyle w:val="FootnoteReference"/>
          <w:rFonts w:ascii="Verdana" w:hAnsi="Verdana"/>
        </w:rPr>
        <w:footnoteReference w:id="77"/>
      </w:r>
      <w:r w:rsidRPr="003E2C31">
        <w:rPr>
          <w:rFonts w:ascii="Verdana" w:hAnsi="Verdana"/>
        </w:rPr>
        <w:t>.</w:t>
      </w:r>
    </w:p>
    <w:p w14:paraId="5277085F" w14:textId="77777777" w:rsidR="00C066E4" w:rsidRPr="003E2C31" w:rsidRDefault="00C066E4" w:rsidP="00C066E4">
      <w:pPr>
        <w:pStyle w:val="NormalWeb"/>
        <w:spacing w:before="0" w:beforeAutospacing="0" w:after="0" w:afterAutospacing="0"/>
        <w:jc w:val="both"/>
        <w:rPr>
          <w:rFonts w:ascii="Verdana" w:eastAsiaTheme="minorHAnsi" w:hAnsi="Verdana"/>
          <w:lang w:val="es-ES_tradnl" w:eastAsia="es-ES_tradnl"/>
        </w:rPr>
      </w:pPr>
    </w:p>
    <w:p w14:paraId="397536BA" w14:textId="02FA3633" w:rsidR="00454C7F" w:rsidRPr="005A4DF1" w:rsidRDefault="003E2C31" w:rsidP="00C066E4">
      <w:pPr>
        <w:pStyle w:val="NormalWeb"/>
        <w:spacing w:before="0" w:beforeAutospacing="0" w:after="0" w:afterAutospacing="0"/>
        <w:jc w:val="both"/>
        <w:rPr>
          <w:rFonts w:ascii="Verdana" w:eastAsiaTheme="minorHAnsi" w:hAnsi="Verdana"/>
          <w:lang w:val="es-ES_tradnl" w:eastAsia="es-ES_tradnl"/>
        </w:rPr>
      </w:pPr>
      <w:r>
        <w:rPr>
          <w:rFonts w:ascii="Verdana" w:eastAsiaTheme="minorHAnsi" w:hAnsi="Verdana"/>
          <w:lang w:val="es-ES_tradnl" w:eastAsia="es-ES_tradnl"/>
        </w:rPr>
        <w:t>62</w:t>
      </w:r>
      <w:r w:rsidR="00454C7F" w:rsidRPr="005A4DF1">
        <w:rPr>
          <w:rFonts w:ascii="Verdana" w:eastAsiaTheme="minorHAnsi" w:hAnsi="Verdana"/>
          <w:lang w:val="es-ES_tradnl" w:eastAsia="es-ES_tradnl"/>
        </w:rPr>
        <w:t>.</w:t>
      </w:r>
      <w:r w:rsidR="00454C7F" w:rsidRPr="005A4DF1">
        <w:rPr>
          <w:rFonts w:ascii="Verdana" w:eastAsiaTheme="minorHAnsi" w:hAnsi="Verdana"/>
          <w:lang w:val="es-ES_tradnl" w:eastAsia="es-ES_tradnl"/>
        </w:rPr>
        <w:tab/>
        <w:t>El Comité de los Derechos del Niño, por su parte, al examinar los “[d]</w:t>
      </w:r>
      <w:proofErr w:type="spellStart"/>
      <w:r w:rsidR="00454C7F" w:rsidRPr="005A4DF1">
        <w:rPr>
          <w:rFonts w:ascii="Verdana" w:eastAsiaTheme="minorHAnsi" w:hAnsi="Verdana"/>
          <w:lang w:val="es-ES_tradnl" w:eastAsia="es-ES_tradnl"/>
        </w:rPr>
        <w:t>e</w:t>
      </w:r>
      <w:r w:rsidR="007F3BFB">
        <w:rPr>
          <w:rFonts w:ascii="Verdana" w:eastAsiaTheme="minorHAnsi" w:hAnsi="Verdana"/>
          <w:lang w:val="es-ES_tradnl" w:eastAsia="es-ES_tradnl"/>
        </w:rPr>
        <w:t>rechos</w:t>
      </w:r>
      <w:proofErr w:type="spellEnd"/>
      <w:r w:rsidR="007F3BFB">
        <w:rPr>
          <w:rFonts w:ascii="Verdana" w:eastAsiaTheme="minorHAnsi" w:hAnsi="Verdana"/>
          <w:lang w:val="es-ES_tradnl" w:eastAsia="es-ES_tradnl"/>
        </w:rPr>
        <w:t xml:space="preserve"> a la vida, a la superviv</w:t>
      </w:r>
      <w:r w:rsidR="00454C7F" w:rsidRPr="005A4DF1">
        <w:rPr>
          <w:rFonts w:ascii="Verdana" w:eastAsiaTheme="minorHAnsi" w:hAnsi="Verdana"/>
          <w:lang w:val="es-ES_tradnl" w:eastAsia="es-ES_tradnl"/>
        </w:rPr>
        <w:t>encia, y al desarrollo” en relación con un Estado, se ha mostrado “</w:t>
      </w:r>
      <w:r w:rsidR="00454C7F" w:rsidRPr="005A4DF1">
        <w:rPr>
          <w:rFonts w:ascii="Verdana" w:hAnsi="Verdana"/>
        </w:rPr>
        <w:t>preocupado por la incidencia de desalojos forzosos de familias, incluidos niños, sin una indemnización adecuada o un alojamiento alternativo”, y “</w:t>
      </w:r>
      <w:proofErr w:type="spellStart"/>
      <w:r w:rsidR="00454C7F" w:rsidRPr="005A4DF1">
        <w:rPr>
          <w:rFonts w:ascii="Verdana" w:hAnsi="Verdana"/>
        </w:rPr>
        <w:t>lament</w:t>
      </w:r>
      <w:proofErr w:type="spellEnd"/>
      <w:r w:rsidR="00454C7F" w:rsidRPr="005A4DF1">
        <w:rPr>
          <w:rFonts w:ascii="Verdana" w:hAnsi="Verdana"/>
        </w:rPr>
        <w:t>[</w:t>
      </w:r>
      <w:proofErr w:type="spellStart"/>
      <w:r w:rsidR="00454C7F" w:rsidRPr="005A4DF1">
        <w:rPr>
          <w:rFonts w:ascii="Verdana" w:hAnsi="Verdana"/>
        </w:rPr>
        <w:t>ó</w:t>
      </w:r>
      <w:proofErr w:type="spellEnd"/>
      <w:r w:rsidR="00454C7F" w:rsidRPr="005A4DF1">
        <w:rPr>
          <w:rFonts w:ascii="Verdana" w:hAnsi="Verdana"/>
        </w:rPr>
        <w:t>] profundamente” que “los desalojos forzosos puedan ejecutarse aunque dejen sin hogar a los afectados”</w:t>
      </w:r>
      <w:r w:rsidR="00454C7F" w:rsidRPr="005A4DF1">
        <w:rPr>
          <w:rStyle w:val="FootnoteReference"/>
          <w:rFonts w:ascii="Verdana" w:eastAsia="Batang" w:hAnsi="Verdana"/>
        </w:rPr>
        <w:footnoteReference w:id="78"/>
      </w:r>
      <w:r w:rsidR="00454C7F" w:rsidRPr="005A4DF1">
        <w:rPr>
          <w:rFonts w:ascii="Verdana" w:hAnsi="Verdana"/>
        </w:rPr>
        <w:t xml:space="preserve">. </w:t>
      </w:r>
    </w:p>
    <w:p w14:paraId="3B8912CF" w14:textId="77777777" w:rsidR="00C066E4" w:rsidRDefault="00C066E4" w:rsidP="00C066E4">
      <w:pPr>
        <w:pStyle w:val="NormalWeb"/>
        <w:spacing w:before="0" w:beforeAutospacing="0" w:after="0" w:afterAutospacing="0"/>
        <w:jc w:val="both"/>
        <w:rPr>
          <w:rFonts w:ascii="Verdana" w:eastAsiaTheme="minorHAnsi" w:hAnsi="Verdana"/>
          <w:lang w:val="es-ES_tradnl" w:eastAsia="es-ES_tradnl"/>
        </w:rPr>
      </w:pPr>
    </w:p>
    <w:p w14:paraId="75F81528" w14:textId="51CD6007" w:rsidR="00454C7F" w:rsidRPr="00AE694A" w:rsidRDefault="003E2C31" w:rsidP="00C066E4">
      <w:pPr>
        <w:pStyle w:val="NormalWeb"/>
        <w:spacing w:before="0" w:beforeAutospacing="0" w:after="0" w:afterAutospacing="0"/>
        <w:jc w:val="both"/>
        <w:rPr>
          <w:rFonts w:ascii="Verdana" w:eastAsiaTheme="minorHAnsi" w:hAnsi="Verdana"/>
          <w:lang w:val="es-ES_tradnl" w:eastAsia="es-ES_tradnl"/>
        </w:rPr>
      </w:pPr>
      <w:r>
        <w:rPr>
          <w:rFonts w:ascii="Verdana" w:eastAsiaTheme="minorHAnsi" w:hAnsi="Verdana"/>
          <w:lang w:val="es-ES_tradnl" w:eastAsia="es-ES_tradnl"/>
        </w:rPr>
        <w:t>63</w:t>
      </w:r>
      <w:r w:rsidR="00454C7F" w:rsidRPr="005A4DF1">
        <w:rPr>
          <w:rFonts w:ascii="Verdana" w:eastAsiaTheme="minorHAnsi" w:hAnsi="Verdana"/>
          <w:lang w:val="es-ES_tradnl" w:eastAsia="es-ES_tradnl"/>
        </w:rPr>
        <w:t>.</w:t>
      </w:r>
      <w:r w:rsidR="00454C7F" w:rsidRPr="005A4DF1">
        <w:rPr>
          <w:rFonts w:ascii="Verdana" w:eastAsiaTheme="minorHAnsi" w:hAnsi="Verdana"/>
          <w:lang w:val="es-ES_tradnl" w:eastAsia="es-ES_tradnl"/>
        </w:rPr>
        <w:tab/>
        <w:t>El derecho a la vivienda puede aparecer vinculado al derecho a la integridad personal. Así</w:t>
      </w:r>
      <w:r w:rsidR="00AE694A">
        <w:rPr>
          <w:rFonts w:ascii="Verdana" w:eastAsiaTheme="minorHAnsi" w:hAnsi="Verdana"/>
          <w:lang w:val="es-ES_tradnl" w:eastAsia="es-ES_tradnl"/>
        </w:rPr>
        <w:t>,</w:t>
      </w:r>
      <w:r w:rsidR="00454C7F" w:rsidRPr="005A4DF1">
        <w:rPr>
          <w:rFonts w:ascii="Verdana" w:eastAsiaTheme="minorHAnsi" w:hAnsi="Verdana"/>
          <w:lang w:val="es-ES_tradnl" w:eastAsia="es-ES_tradnl"/>
        </w:rPr>
        <w:t xml:space="preserve"> por ejemplo, el Comité </w:t>
      </w:r>
      <w:r w:rsidR="00AE694A">
        <w:rPr>
          <w:rFonts w:ascii="Verdana" w:eastAsiaTheme="minorHAnsi" w:hAnsi="Verdana"/>
          <w:lang w:val="es-ES_tradnl" w:eastAsia="es-ES_tradnl"/>
        </w:rPr>
        <w:t xml:space="preserve">para la Eliminación de la Discriminación contra la Mujer, </w:t>
      </w:r>
      <w:r w:rsidR="00454C7F" w:rsidRPr="005A4DF1">
        <w:rPr>
          <w:rFonts w:ascii="Verdana" w:eastAsiaTheme="minorHAnsi" w:hAnsi="Verdana"/>
          <w:lang w:val="es-ES_tradnl" w:eastAsia="es-ES_tradnl"/>
        </w:rPr>
        <w:t>decidió un caso en que la víctima sufrió agresiones por parte de su ex pareja y no podía trasladarse a otro lugar, por falta d</w:t>
      </w:r>
      <w:r w:rsidR="00AE694A">
        <w:rPr>
          <w:rFonts w:ascii="Verdana" w:eastAsiaTheme="minorHAnsi" w:hAnsi="Verdana"/>
          <w:lang w:val="es-ES_tradnl" w:eastAsia="es-ES_tradnl"/>
        </w:rPr>
        <w:t>e espacio en centros de acogida;</w:t>
      </w:r>
      <w:r w:rsidR="00454C7F" w:rsidRPr="005A4DF1">
        <w:rPr>
          <w:rFonts w:ascii="Verdana" w:eastAsiaTheme="minorHAnsi" w:hAnsi="Verdana"/>
          <w:lang w:val="es-ES_tradnl" w:eastAsia="es-ES_tradnl"/>
        </w:rPr>
        <w:t xml:space="preserve"> siendo que, por otra parte los tribunales no le concedieron la posesión de su vivienda, por el derecho de propiedad d</w:t>
      </w:r>
      <w:r w:rsidR="00AE694A">
        <w:rPr>
          <w:rFonts w:ascii="Verdana" w:eastAsiaTheme="minorHAnsi" w:hAnsi="Verdana"/>
          <w:lang w:val="es-ES_tradnl" w:eastAsia="es-ES_tradnl"/>
        </w:rPr>
        <w:t>e su marido sobre el inmueble proveyendo</w:t>
      </w:r>
      <w:r w:rsidR="00454C7F" w:rsidRPr="005A4DF1">
        <w:rPr>
          <w:rFonts w:ascii="Verdana" w:eastAsiaTheme="minorHAnsi" w:hAnsi="Verdana"/>
          <w:lang w:val="es-ES_tradnl" w:eastAsia="es-ES_tradnl"/>
        </w:rPr>
        <w:t xml:space="preserve"> un lugar en que albergar a la mujer. El Comité recomendó al Estado, </w:t>
      </w:r>
      <w:r w:rsidR="00454C7F" w:rsidRPr="005A4DF1">
        <w:rPr>
          <w:rFonts w:ascii="Verdana" w:eastAsiaTheme="minorHAnsi" w:hAnsi="Verdana"/>
          <w:i/>
          <w:lang w:val="es-ES_tradnl" w:eastAsia="es-ES_tradnl"/>
        </w:rPr>
        <w:t xml:space="preserve">inter </w:t>
      </w:r>
      <w:proofErr w:type="spellStart"/>
      <w:r w:rsidR="00454C7F" w:rsidRPr="005A4DF1">
        <w:rPr>
          <w:rFonts w:ascii="Verdana" w:eastAsiaTheme="minorHAnsi" w:hAnsi="Verdana"/>
          <w:i/>
          <w:lang w:val="es-ES_tradnl" w:eastAsia="es-ES_tradnl"/>
        </w:rPr>
        <w:t>alia</w:t>
      </w:r>
      <w:proofErr w:type="spellEnd"/>
      <w:r w:rsidR="00454C7F" w:rsidRPr="005A4DF1">
        <w:rPr>
          <w:rFonts w:ascii="Verdana" w:eastAsiaTheme="minorHAnsi" w:hAnsi="Verdana"/>
          <w:i/>
          <w:lang w:val="es-ES_tradnl" w:eastAsia="es-ES_tradnl"/>
        </w:rPr>
        <w:t>, que “</w:t>
      </w:r>
      <w:r w:rsidR="00454C7F" w:rsidRPr="005A4DF1">
        <w:rPr>
          <w:rFonts w:ascii="Verdana" w:eastAsiaTheme="minorHAnsi" w:hAnsi="Verdana"/>
          <w:lang w:val="es-ES_tradnl" w:eastAsia="es-ES_tradnl"/>
        </w:rPr>
        <w:t>[a]</w:t>
      </w:r>
      <w:proofErr w:type="spellStart"/>
      <w:r w:rsidR="00454C7F" w:rsidRPr="005A4DF1">
        <w:rPr>
          <w:rFonts w:ascii="Verdana" w:eastAsiaTheme="minorHAnsi" w:hAnsi="Verdana"/>
          <w:lang w:eastAsia="en-US"/>
        </w:rPr>
        <w:t>segure</w:t>
      </w:r>
      <w:proofErr w:type="spellEnd"/>
      <w:r w:rsidR="00454C7F" w:rsidRPr="005A4DF1">
        <w:rPr>
          <w:rFonts w:ascii="Verdana" w:eastAsiaTheme="minorHAnsi" w:hAnsi="Verdana"/>
          <w:lang w:eastAsia="en-US"/>
        </w:rPr>
        <w:t xml:space="preserve"> </w:t>
      </w:r>
      <w:proofErr w:type="gramStart"/>
      <w:r w:rsidR="00454C7F" w:rsidRPr="005A4DF1">
        <w:rPr>
          <w:rFonts w:ascii="Verdana" w:eastAsiaTheme="minorHAnsi" w:hAnsi="Verdana"/>
          <w:lang w:eastAsia="en-US"/>
        </w:rPr>
        <w:t>que[</w:t>
      </w:r>
      <w:proofErr w:type="gramEnd"/>
      <w:r w:rsidR="00454C7F" w:rsidRPr="005A4DF1">
        <w:rPr>
          <w:rFonts w:ascii="Verdana" w:eastAsiaTheme="minorHAnsi" w:hAnsi="Verdana"/>
          <w:lang w:eastAsia="en-US"/>
        </w:rPr>
        <w:t xml:space="preserve"> la víctima] tenga un hogar seguro donde vivir”</w:t>
      </w:r>
      <w:r w:rsidR="00454C7F" w:rsidRPr="005A4DF1">
        <w:rPr>
          <w:rStyle w:val="FootnoteReference"/>
          <w:rFonts w:ascii="Verdana" w:eastAsiaTheme="minorHAnsi" w:hAnsi="Verdana"/>
          <w:lang w:eastAsia="en-US"/>
        </w:rPr>
        <w:footnoteReference w:id="79"/>
      </w:r>
      <w:r w:rsidR="00454C7F" w:rsidRPr="005A4DF1">
        <w:rPr>
          <w:rFonts w:ascii="Verdana" w:eastAsiaTheme="minorHAnsi" w:hAnsi="Verdana"/>
          <w:lang w:eastAsia="en-US"/>
        </w:rPr>
        <w:t xml:space="preserve">. </w:t>
      </w:r>
      <w:r w:rsidR="00454C7F" w:rsidRPr="005A4DF1">
        <w:rPr>
          <w:rFonts w:ascii="Verdana" w:eastAsiaTheme="minorHAnsi" w:hAnsi="Verdana"/>
          <w:lang w:val="es-ES_tradnl" w:eastAsia="es-ES_tradnl"/>
        </w:rPr>
        <w:t>Adviértase que en el caso el derecho a la vivienda y, consecuentemente, en las circunstancias del mismo, el derecho a la integridad personal, operaban en tensión con el derecho de propiedad del que era titular la persona agresora.</w:t>
      </w:r>
    </w:p>
    <w:p w14:paraId="14A35110" w14:textId="77777777" w:rsidR="00C066E4" w:rsidRDefault="00C066E4" w:rsidP="00454C7F">
      <w:pPr>
        <w:pStyle w:val="ListParagraph"/>
        <w:ind w:left="0"/>
        <w:contextualSpacing w:val="0"/>
        <w:jc w:val="both"/>
        <w:rPr>
          <w:rFonts w:ascii="Verdana" w:hAnsi="Verdana"/>
          <w:sz w:val="20"/>
          <w:szCs w:val="20"/>
        </w:rPr>
      </w:pPr>
    </w:p>
    <w:p w14:paraId="495092B2" w14:textId="63B707B2" w:rsidR="00454C7F" w:rsidRPr="005A4DF1" w:rsidRDefault="00E97B90" w:rsidP="00454C7F">
      <w:pPr>
        <w:pStyle w:val="ListParagraph"/>
        <w:ind w:left="0"/>
        <w:contextualSpacing w:val="0"/>
        <w:jc w:val="both"/>
        <w:rPr>
          <w:rFonts w:ascii="Verdana" w:hAnsi="Verdana"/>
          <w:sz w:val="20"/>
          <w:szCs w:val="20"/>
        </w:rPr>
      </w:pPr>
      <w:r>
        <w:rPr>
          <w:rFonts w:ascii="Verdana" w:hAnsi="Verdana"/>
          <w:sz w:val="20"/>
          <w:szCs w:val="20"/>
        </w:rPr>
        <w:t>64</w:t>
      </w:r>
      <w:r w:rsidR="00454C7F" w:rsidRPr="005A4DF1">
        <w:rPr>
          <w:rFonts w:ascii="Verdana" w:hAnsi="Verdana"/>
          <w:sz w:val="20"/>
          <w:szCs w:val="20"/>
        </w:rPr>
        <w:t>.</w:t>
      </w:r>
      <w:r w:rsidR="00454C7F" w:rsidRPr="005A4DF1">
        <w:rPr>
          <w:rFonts w:ascii="Verdana" w:hAnsi="Verdana"/>
          <w:sz w:val="20"/>
          <w:szCs w:val="20"/>
        </w:rPr>
        <w:tab/>
        <w:t xml:space="preserve">Ahora bien, sobre el bien “vivienda”, debe decirse que el mismo es distinto de otros bienes protegidos por </w:t>
      </w:r>
      <w:r w:rsidR="00AE694A">
        <w:rPr>
          <w:rFonts w:ascii="Verdana" w:hAnsi="Verdana"/>
          <w:sz w:val="20"/>
          <w:szCs w:val="20"/>
        </w:rPr>
        <w:t xml:space="preserve">diversos </w:t>
      </w:r>
      <w:r w:rsidR="00454C7F" w:rsidRPr="005A4DF1">
        <w:rPr>
          <w:rFonts w:ascii="Verdana" w:hAnsi="Verdana"/>
          <w:sz w:val="20"/>
          <w:szCs w:val="20"/>
        </w:rPr>
        <w:t>derechos. Interesa señalar aquí, teniendo en consideración las circunstancias del caso examinado por la Corte</w:t>
      </w:r>
      <w:r w:rsidR="00AE694A">
        <w:rPr>
          <w:rFonts w:ascii="Verdana" w:hAnsi="Verdana"/>
          <w:sz w:val="20"/>
          <w:szCs w:val="20"/>
        </w:rPr>
        <w:t xml:space="preserve"> IDH</w:t>
      </w:r>
      <w:r w:rsidR="00454C7F" w:rsidRPr="005A4DF1">
        <w:rPr>
          <w:rFonts w:ascii="Verdana" w:hAnsi="Verdana"/>
          <w:sz w:val="20"/>
          <w:szCs w:val="20"/>
        </w:rPr>
        <w:t xml:space="preserve">, su distinción de la “propiedad” y del “domicilio”. </w:t>
      </w:r>
    </w:p>
    <w:p w14:paraId="3318978C" w14:textId="77777777" w:rsidR="00454C7F" w:rsidRPr="005A4DF1" w:rsidRDefault="00454C7F" w:rsidP="00454C7F">
      <w:pPr>
        <w:pStyle w:val="ListParagraph"/>
        <w:ind w:left="0"/>
        <w:contextualSpacing w:val="0"/>
        <w:jc w:val="both"/>
        <w:rPr>
          <w:rFonts w:ascii="Verdana" w:hAnsi="Verdana"/>
          <w:sz w:val="20"/>
          <w:szCs w:val="20"/>
        </w:rPr>
      </w:pPr>
    </w:p>
    <w:p w14:paraId="517AAA61" w14:textId="41ED6664" w:rsidR="00454C7F" w:rsidRPr="005A4DF1" w:rsidRDefault="00E97B90" w:rsidP="00454C7F">
      <w:pPr>
        <w:pStyle w:val="ListParagraph"/>
        <w:ind w:left="0"/>
        <w:contextualSpacing w:val="0"/>
        <w:jc w:val="both"/>
        <w:rPr>
          <w:rFonts w:ascii="Verdana" w:hAnsi="Verdana"/>
          <w:sz w:val="20"/>
          <w:szCs w:val="20"/>
        </w:rPr>
      </w:pPr>
      <w:r>
        <w:rPr>
          <w:rFonts w:ascii="Verdana" w:hAnsi="Verdana"/>
          <w:sz w:val="20"/>
          <w:szCs w:val="20"/>
        </w:rPr>
        <w:t>65</w:t>
      </w:r>
      <w:r w:rsidR="00454C7F" w:rsidRPr="005A4DF1">
        <w:rPr>
          <w:rFonts w:ascii="Verdana" w:hAnsi="Verdana"/>
          <w:sz w:val="20"/>
          <w:szCs w:val="20"/>
        </w:rPr>
        <w:t>.</w:t>
      </w:r>
      <w:r w:rsidR="00454C7F" w:rsidRPr="005A4DF1">
        <w:rPr>
          <w:rFonts w:ascii="Verdana" w:hAnsi="Verdana"/>
          <w:sz w:val="20"/>
          <w:szCs w:val="20"/>
        </w:rPr>
        <w:tab/>
        <w:t>El concepto de “vivienda” refiere, como se ha expuesto, a un lugar en que el sujeto titular del derecho pueda habit</w:t>
      </w:r>
      <w:r w:rsidR="003E2C31">
        <w:rPr>
          <w:rFonts w:ascii="Verdana" w:hAnsi="Verdana"/>
          <w:sz w:val="20"/>
          <w:szCs w:val="20"/>
        </w:rPr>
        <w:t>ar. La noción de “propiedad”, aú</w:t>
      </w:r>
      <w:r w:rsidR="00454C7F" w:rsidRPr="005A4DF1">
        <w:rPr>
          <w:rFonts w:ascii="Verdana" w:hAnsi="Verdana"/>
          <w:sz w:val="20"/>
          <w:szCs w:val="20"/>
        </w:rPr>
        <w:t>n en el sentido amplio receptado por la Corte</w:t>
      </w:r>
      <w:r w:rsidR="00AE694A">
        <w:rPr>
          <w:rFonts w:ascii="Verdana" w:hAnsi="Verdana"/>
          <w:sz w:val="20"/>
          <w:szCs w:val="20"/>
        </w:rPr>
        <w:t xml:space="preserve"> IDH</w:t>
      </w:r>
      <w:r w:rsidR="00454C7F" w:rsidRPr="005A4DF1">
        <w:rPr>
          <w:rFonts w:ascii="Verdana" w:hAnsi="Verdana"/>
          <w:sz w:val="20"/>
          <w:szCs w:val="20"/>
        </w:rPr>
        <w:t xml:space="preserve">, y </w:t>
      </w:r>
      <w:r w:rsidR="00454C7F" w:rsidRPr="00DB01B1">
        <w:rPr>
          <w:rFonts w:ascii="Verdana" w:hAnsi="Verdana"/>
          <w:sz w:val="20"/>
          <w:szCs w:val="20"/>
        </w:rPr>
        <w:t>expuesto en el párrafo 25</w:t>
      </w:r>
      <w:r w:rsidR="00202E76">
        <w:rPr>
          <w:rFonts w:ascii="Verdana" w:hAnsi="Verdana"/>
          <w:sz w:val="20"/>
          <w:szCs w:val="20"/>
        </w:rPr>
        <w:t>7</w:t>
      </w:r>
      <w:r w:rsidR="00454C7F" w:rsidRPr="00DB01B1">
        <w:rPr>
          <w:rFonts w:ascii="Verdana" w:hAnsi="Verdana"/>
          <w:sz w:val="20"/>
          <w:szCs w:val="20"/>
        </w:rPr>
        <w:t xml:space="preserve"> de la Sentencia</w:t>
      </w:r>
      <w:r w:rsidR="00454C7F" w:rsidRPr="002331A9">
        <w:rPr>
          <w:rFonts w:ascii="Verdana" w:hAnsi="Verdana"/>
          <w:sz w:val="20"/>
          <w:szCs w:val="20"/>
        </w:rPr>
        <w:t>,</w:t>
      </w:r>
      <w:r w:rsidR="00454C7F" w:rsidRPr="005A4DF1">
        <w:rPr>
          <w:rFonts w:ascii="Verdana" w:hAnsi="Verdana"/>
          <w:sz w:val="20"/>
          <w:szCs w:val="20"/>
        </w:rPr>
        <w:t xml:space="preserve"> remite a un sentido patrimonial, a todo “derecho” que pueda “formar parte del patrimonio”, y puede referirse a bienes materiales o inmateriales susceptibles de valor</w:t>
      </w:r>
      <w:r w:rsidRPr="00E75666">
        <w:rPr>
          <w:rStyle w:val="FootnoteReference"/>
          <w:rFonts w:ascii="Verdana" w:hAnsi="Verdana"/>
          <w:sz w:val="20"/>
          <w:szCs w:val="20"/>
        </w:rPr>
        <w:footnoteReference w:id="80"/>
      </w:r>
      <w:r w:rsidR="00454C7F" w:rsidRPr="005A4DF1">
        <w:rPr>
          <w:rFonts w:ascii="Verdana" w:hAnsi="Verdana"/>
          <w:sz w:val="20"/>
          <w:szCs w:val="20"/>
        </w:rPr>
        <w:t xml:space="preserve">. Es claro, pues, que </w:t>
      </w:r>
      <w:r w:rsidR="00454C7F" w:rsidRPr="00AE694A">
        <w:rPr>
          <w:rFonts w:ascii="Verdana" w:hAnsi="Verdana"/>
          <w:sz w:val="20"/>
          <w:szCs w:val="20"/>
          <w:u w:val="single"/>
        </w:rPr>
        <w:t xml:space="preserve">puede haber </w:t>
      </w:r>
      <w:r w:rsidR="002F649F" w:rsidRPr="00AE694A">
        <w:rPr>
          <w:rFonts w:ascii="Verdana" w:hAnsi="Verdana"/>
          <w:sz w:val="20"/>
          <w:szCs w:val="20"/>
          <w:u w:val="single"/>
        </w:rPr>
        <w:t>múltiples</w:t>
      </w:r>
      <w:r w:rsidR="00454C7F" w:rsidRPr="00AE694A">
        <w:rPr>
          <w:rFonts w:ascii="Verdana" w:hAnsi="Verdana"/>
          <w:sz w:val="20"/>
          <w:szCs w:val="20"/>
          <w:u w:val="single"/>
        </w:rPr>
        <w:t xml:space="preserve"> afectaciones al derecho de propiedad que en nada se relacionen con una vivienda</w:t>
      </w:r>
      <w:r w:rsidR="00454C7F" w:rsidRPr="005A4DF1">
        <w:rPr>
          <w:rFonts w:ascii="Verdana" w:hAnsi="Verdana"/>
          <w:sz w:val="20"/>
          <w:szCs w:val="20"/>
        </w:rPr>
        <w:t xml:space="preserve">. Inversamente, </w:t>
      </w:r>
      <w:r w:rsidR="00454C7F" w:rsidRPr="00AE694A">
        <w:rPr>
          <w:rFonts w:ascii="Verdana" w:hAnsi="Verdana"/>
          <w:sz w:val="20"/>
          <w:szCs w:val="20"/>
          <w:u w:val="single"/>
        </w:rPr>
        <w:t>puede haber afectaciones a la vivienda que no se relacionen con la propiedad</w:t>
      </w:r>
      <w:r w:rsidR="00454C7F" w:rsidRPr="005A4DF1">
        <w:rPr>
          <w:rFonts w:ascii="Verdana" w:hAnsi="Verdana"/>
          <w:sz w:val="20"/>
          <w:szCs w:val="20"/>
        </w:rPr>
        <w:t xml:space="preserve">. </w:t>
      </w:r>
      <w:r w:rsidR="00AE694A">
        <w:rPr>
          <w:rFonts w:ascii="Verdana" w:hAnsi="Verdana"/>
          <w:sz w:val="20"/>
          <w:szCs w:val="20"/>
        </w:rPr>
        <w:t>De ahí que</w:t>
      </w:r>
      <w:r w:rsidR="00454C7F" w:rsidRPr="005A4DF1">
        <w:rPr>
          <w:rFonts w:ascii="Verdana" w:hAnsi="Verdana"/>
          <w:sz w:val="20"/>
          <w:szCs w:val="20"/>
        </w:rPr>
        <w:t xml:space="preserve"> la noción de “vivienda” y el derecho a tal bien </w:t>
      </w:r>
      <w:r w:rsidR="00454C7F" w:rsidRPr="008B0B8B">
        <w:rPr>
          <w:rFonts w:ascii="Verdana" w:hAnsi="Verdana"/>
          <w:sz w:val="20"/>
          <w:szCs w:val="20"/>
          <w:u w:val="single"/>
        </w:rPr>
        <w:t>son independientes del de propiedad, y pueden presentarse incluso en a</w:t>
      </w:r>
      <w:r w:rsidR="008B0B8B" w:rsidRPr="008B0B8B">
        <w:rPr>
          <w:rFonts w:ascii="Verdana" w:hAnsi="Verdana"/>
          <w:sz w:val="20"/>
          <w:szCs w:val="20"/>
          <w:u w:val="single"/>
        </w:rPr>
        <w:t>us</w:t>
      </w:r>
      <w:r w:rsidR="00454C7F" w:rsidRPr="008B0B8B">
        <w:rPr>
          <w:rFonts w:ascii="Verdana" w:hAnsi="Verdana"/>
          <w:sz w:val="20"/>
          <w:szCs w:val="20"/>
          <w:u w:val="single"/>
        </w:rPr>
        <w:t>encia de todo vínculo patrimonial</w:t>
      </w:r>
      <w:r>
        <w:rPr>
          <w:rFonts w:ascii="Verdana" w:hAnsi="Verdana"/>
          <w:sz w:val="20"/>
          <w:szCs w:val="20"/>
        </w:rPr>
        <w:t>. Así, el Comité DESC</w:t>
      </w:r>
      <w:r w:rsidR="00454C7F" w:rsidRPr="005A4DF1">
        <w:rPr>
          <w:rFonts w:ascii="Verdana" w:hAnsi="Verdana"/>
          <w:sz w:val="20"/>
          <w:szCs w:val="20"/>
        </w:rPr>
        <w:t xml:space="preserve">, en su Observación General No. 4, al referirse a la “seguridad jurídica de la tenencia” como uno de los “aspectos” que hacen al carácter “adecuado” de la vivienda “en cualquier contexto determinado”, explica que “[l]a tenencia adopta una variedad de formas”, </w:t>
      </w:r>
      <w:r w:rsidR="00454C7F" w:rsidRPr="005A4DF1">
        <w:rPr>
          <w:rFonts w:ascii="Verdana" w:hAnsi="Verdana"/>
          <w:sz w:val="20"/>
          <w:szCs w:val="20"/>
        </w:rPr>
        <w:lastRenderedPageBreak/>
        <w:t xml:space="preserve">entre las que incluye “los asentamientos informales, </w:t>
      </w:r>
      <w:proofErr w:type="spellStart"/>
      <w:r w:rsidR="00454C7F" w:rsidRPr="005A4DF1">
        <w:rPr>
          <w:rFonts w:ascii="Verdana" w:hAnsi="Verdana"/>
          <w:sz w:val="20"/>
          <w:szCs w:val="20"/>
        </w:rPr>
        <w:t>inclu</w:t>
      </w:r>
      <w:proofErr w:type="spellEnd"/>
      <w:r w:rsidR="00454C7F" w:rsidRPr="005A4DF1">
        <w:rPr>
          <w:rFonts w:ascii="Verdana" w:hAnsi="Verdana"/>
          <w:sz w:val="20"/>
          <w:szCs w:val="20"/>
        </w:rPr>
        <w:t>[</w:t>
      </w:r>
      <w:proofErr w:type="spellStart"/>
      <w:r w:rsidR="00454C7F" w:rsidRPr="005A4DF1">
        <w:rPr>
          <w:rFonts w:ascii="Verdana" w:hAnsi="Verdana"/>
          <w:sz w:val="20"/>
          <w:szCs w:val="20"/>
        </w:rPr>
        <w:t>sive</w:t>
      </w:r>
      <w:proofErr w:type="spellEnd"/>
      <w:r w:rsidR="00454C7F" w:rsidRPr="005A4DF1">
        <w:rPr>
          <w:rFonts w:ascii="Verdana" w:hAnsi="Verdana"/>
          <w:sz w:val="20"/>
          <w:szCs w:val="20"/>
        </w:rPr>
        <w:t>] la ocupación de tierra o propiedad”, y que “[s]</w:t>
      </w:r>
      <w:proofErr w:type="spellStart"/>
      <w:r w:rsidR="00454C7F" w:rsidRPr="005A4DF1">
        <w:rPr>
          <w:rFonts w:ascii="Verdana" w:hAnsi="Verdana"/>
          <w:sz w:val="20"/>
          <w:szCs w:val="20"/>
        </w:rPr>
        <w:t>ea</w:t>
      </w:r>
      <w:proofErr w:type="spellEnd"/>
      <w:r w:rsidR="00454C7F" w:rsidRPr="005A4DF1">
        <w:rPr>
          <w:rFonts w:ascii="Verdana" w:hAnsi="Verdana"/>
          <w:sz w:val="20"/>
          <w:szCs w:val="20"/>
        </w:rPr>
        <w:t xml:space="preserve"> cual fuere el tipo de tenencia, todas las personas deben gozar de cierto grado de seguridad de tenencia que les garantice una protección legal contra el desahucio, el hostigamiento u otras amenazas”</w:t>
      </w:r>
      <w:r w:rsidR="00454C7F" w:rsidRPr="005A4DF1">
        <w:rPr>
          <w:rStyle w:val="FootnoteReference"/>
          <w:rFonts w:ascii="Verdana" w:hAnsi="Verdana"/>
          <w:sz w:val="20"/>
          <w:szCs w:val="20"/>
        </w:rPr>
        <w:footnoteReference w:id="81"/>
      </w:r>
      <w:r w:rsidR="00454C7F" w:rsidRPr="005A4DF1">
        <w:rPr>
          <w:rFonts w:ascii="Verdana" w:hAnsi="Verdana"/>
          <w:sz w:val="20"/>
          <w:szCs w:val="20"/>
        </w:rPr>
        <w:t xml:space="preserve">. </w:t>
      </w:r>
    </w:p>
    <w:p w14:paraId="69E720E1" w14:textId="77777777" w:rsidR="00454C7F" w:rsidRPr="005A4DF1" w:rsidRDefault="00454C7F" w:rsidP="00454C7F">
      <w:pPr>
        <w:pStyle w:val="ListParagraph"/>
        <w:ind w:left="0"/>
        <w:contextualSpacing w:val="0"/>
        <w:jc w:val="both"/>
        <w:rPr>
          <w:rFonts w:ascii="Verdana" w:hAnsi="Verdana"/>
          <w:sz w:val="20"/>
          <w:szCs w:val="20"/>
        </w:rPr>
      </w:pPr>
    </w:p>
    <w:p w14:paraId="62E5492E" w14:textId="5522EF43" w:rsidR="00454C7F" w:rsidRPr="005A4DF1" w:rsidRDefault="00E97B90" w:rsidP="00454C7F">
      <w:pPr>
        <w:pStyle w:val="ListParagraph"/>
        <w:ind w:left="0"/>
        <w:contextualSpacing w:val="0"/>
        <w:jc w:val="both"/>
        <w:rPr>
          <w:rFonts w:ascii="Verdana" w:hAnsi="Verdana"/>
          <w:sz w:val="20"/>
          <w:szCs w:val="20"/>
        </w:rPr>
      </w:pPr>
      <w:r>
        <w:rPr>
          <w:rFonts w:ascii="Verdana" w:hAnsi="Verdana"/>
          <w:sz w:val="20"/>
          <w:szCs w:val="20"/>
        </w:rPr>
        <w:t>66</w:t>
      </w:r>
      <w:r w:rsidR="00454C7F" w:rsidRPr="005A4DF1">
        <w:rPr>
          <w:rFonts w:ascii="Verdana" w:hAnsi="Verdana"/>
          <w:sz w:val="20"/>
          <w:szCs w:val="20"/>
        </w:rPr>
        <w:t>.</w:t>
      </w:r>
      <w:r w:rsidR="00454C7F" w:rsidRPr="005A4DF1">
        <w:rPr>
          <w:rFonts w:ascii="Verdana" w:hAnsi="Verdana"/>
          <w:sz w:val="20"/>
          <w:szCs w:val="20"/>
        </w:rPr>
        <w:tab/>
        <w:t>La noción de “vivienda” también se distingue de la de “domicilio”, en el sentido del artículo 11.2 de la Convención</w:t>
      </w:r>
      <w:r w:rsidR="008B0B8B">
        <w:rPr>
          <w:rFonts w:ascii="Verdana" w:hAnsi="Verdana"/>
          <w:sz w:val="20"/>
          <w:szCs w:val="20"/>
        </w:rPr>
        <w:t xml:space="preserve"> Americana</w:t>
      </w:r>
      <w:r w:rsidR="00454C7F" w:rsidRPr="005A4DF1">
        <w:rPr>
          <w:rFonts w:ascii="Verdana" w:hAnsi="Verdana"/>
          <w:sz w:val="20"/>
          <w:szCs w:val="20"/>
        </w:rPr>
        <w:t>. Esta noción, incluida en el derecho “a la [p]</w:t>
      </w:r>
      <w:proofErr w:type="spellStart"/>
      <w:r w:rsidR="00454C7F" w:rsidRPr="005A4DF1">
        <w:rPr>
          <w:rFonts w:ascii="Verdana" w:hAnsi="Verdana"/>
          <w:sz w:val="20"/>
          <w:szCs w:val="20"/>
        </w:rPr>
        <w:t>rotección</w:t>
      </w:r>
      <w:proofErr w:type="spellEnd"/>
      <w:r w:rsidR="00454C7F" w:rsidRPr="005A4DF1">
        <w:rPr>
          <w:rFonts w:ascii="Verdana" w:hAnsi="Verdana"/>
          <w:sz w:val="20"/>
          <w:szCs w:val="20"/>
        </w:rPr>
        <w:t xml:space="preserve"> de la [h]</w:t>
      </w:r>
      <w:proofErr w:type="spellStart"/>
      <w:r w:rsidR="00454C7F" w:rsidRPr="005A4DF1">
        <w:rPr>
          <w:rFonts w:ascii="Verdana" w:hAnsi="Verdana"/>
          <w:sz w:val="20"/>
          <w:szCs w:val="20"/>
        </w:rPr>
        <w:t>onra</w:t>
      </w:r>
      <w:proofErr w:type="spellEnd"/>
      <w:r w:rsidR="00454C7F" w:rsidRPr="005A4DF1">
        <w:rPr>
          <w:rFonts w:ascii="Verdana" w:hAnsi="Verdana"/>
          <w:sz w:val="20"/>
          <w:szCs w:val="20"/>
        </w:rPr>
        <w:t xml:space="preserve"> y de la [d]</w:t>
      </w:r>
      <w:proofErr w:type="spellStart"/>
      <w:r w:rsidR="00454C7F" w:rsidRPr="005A4DF1">
        <w:rPr>
          <w:rFonts w:ascii="Verdana" w:hAnsi="Verdana"/>
          <w:sz w:val="20"/>
          <w:szCs w:val="20"/>
        </w:rPr>
        <w:t>ignidad</w:t>
      </w:r>
      <w:proofErr w:type="spellEnd"/>
      <w:r w:rsidR="00454C7F" w:rsidRPr="005A4DF1">
        <w:rPr>
          <w:rFonts w:ascii="Verdana" w:hAnsi="Verdana"/>
          <w:sz w:val="20"/>
          <w:szCs w:val="20"/>
        </w:rPr>
        <w:t xml:space="preserve">” tiende, al igual que otros conceptos indicados en la norma, al resguardo de la “vida privada” de “injerencias arbitrarias o abusivas” en la misma, a la tutela de un ámbito de privacidad, como se desprende de lo dicho por la Corte </w:t>
      </w:r>
      <w:r w:rsidR="008B0B8B" w:rsidRPr="002B4780">
        <w:rPr>
          <w:rFonts w:ascii="Verdana" w:hAnsi="Verdana"/>
          <w:sz w:val="20"/>
          <w:szCs w:val="20"/>
        </w:rPr>
        <w:t xml:space="preserve">IDH </w:t>
      </w:r>
      <w:r w:rsidR="00454C7F" w:rsidRPr="00DB01B1">
        <w:rPr>
          <w:rFonts w:ascii="Verdana" w:hAnsi="Verdana"/>
          <w:sz w:val="20"/>
          <w:szCs w:val="20"/>
        </w:rPr>
        <w:t>en el párrafo 25</w:t>
      </w:r>
      <w:r w:rsidR="00EB3956">
        <w:rPr>
          <w:rFonts w:ascii="Verdana" w:hAnsi="Verdana"/>
          <w:sz w:val="20"/>
          <w:szCs w:val="20"/>
        </w:rPr>
        <w:t>5</w:t>
      </w:r>
      <w:r w:rsidR="00454C7F" w:rsidRPr="00DB01B1">
        <w:rPr>
          <w:rFonts w:ascii="Verdana" w:hAnsi="Verdana"/>
          <w:sz w:val="20"/>
          <w:szCs w:val="20"/>
        </w:rPr>
        <w:t xml:space="preserve"> de la Sentencia</w:t>
      </w:r>
      <w:r w:rsidR="002B4780" w:rsidRPr="002B4780">
        <w:rPr>
          <w:rStyle w:val="FootnoteReference"/>
          <w:rFonts w:ascii="Verdana" w:hAnsi="Verdana"/>
          <w:sz w:val="20"/>
          <w:szCs w:val="20"/>
        </w:rPr>
        <w:footnoteReference w:id="82"/>
      </w:r>
      <w:r w:rsidR="00454C7F" w:rsidRPr="002B4780">
        <w:rPr>
          <w:rFonts w:ascii="Verdana" w:hAnsi="Verdana"/>
          <w:sz w:val="20"/>
          <w:szCs w:val="20"/>
        </w:rPr>
        <w:t>.</w:t>
      </w:r>
      <w:r w:rsidR="00454C7F" w:rsidRPr="005A4DF1">
        <w:rPr>
          <w:rFonts w:ascii="Verdana" w:hAnsi="Verdana"/>
          <w:sz w:val="20"/>
          <w:szCs w:val="20"/>
        </w:rPr>
        <w:t xml:space="preserve"> Si bien habrá casos en que la </w:t>
      </w:r>
      <w:r w:rsidR="00454C7F" w:rsidRPr="002B4780">
        <w:rPr>
          <w:rFonts w:ascii="Verdana" w:hAnsi="Verdana"/>
          <w:sz w:val="20"/>
          <w:szCs w:val="20"/>
        </w:rPr>
        <w:t>afectación al derecho a la vivienda podrá implicar, a su vez, un atentado al “domicilio” en el sentido expresado, no siempre ello ocurrirá. Esto último es lo que se ha pr</w:t>
      </w:r>
      <w:r w:rsidR="008B0B8B" w:rsidRPr="002B4780">
        <w:rPr>
          <w:rFonts w:ascii="Verdana" w:hAnsi="Verdana"/>
          <w:sz w:val="20"/>
          <w:szCs w:val="20"/>
        </w:rPr>
        <w:t>e</w:t>
      </w:r>
      <w:r w:rsidR="00454C7F" w:rsidRPr="002B4780">
        <w:rPr>
          <w:rFonts w:ascii="Verdana" w:hAnsi="Verdana"/>
          <w:sz w:val="20"/>
          <w:szCs w:val="20"/>
        </w:rPr>
        <w:t>sentado en las circunstancias</w:t>
      </w:r>
      <w:r w:rsidR="008B0B8B" w:rsidRPr="002B4780">
        <w:rPr>
          <w:rFonts w:ascii="Verdana" w:hAnsi="Verdana"/>
          <w:sz w:val="20"/>
          <w:szCs w:val="20"/>
        </w:rPr>
        <w:t xml:space="preserve"> del caso: como indicó el Tribunal Interamericano </w:t>
      </w:r>
      <w:r w:rsidR="00454C7F" w:rsidRPr="002B4780">
        <w:rPr>
          <w:rFonts w:ascii="Verdana" w:hAnsi="Verdana"/>
          <w:sz w:val="20"/>
          <w:szCs w:val="20"/>
        </w:rPr>
        <w:t xml:space="preserve">en </w:t>
      </w:r>
      <w:r w:rsidR="00454C7F" w:rsidRPr="002331A9">
        <w:rPr>
          <w:rFonts w:ascii="Verdana" w:hAnsi="Verdana"/>
          <w:sz w:val="20"/>
          <w:szCs w:val="20"/>
        </w:rPr>
        <w:t xml:space="preserve">el </w:t>
      </w:r>
      <w:r w:rsidR="00454C7F" w:rsidRPr="00DB01B1">
        <w:rPr>
          <w:rFonts w:ascii="Verdana" w:hAnsi="Verdana"/>
          <w:sz w:val="20"/>
          <w:szCs w:val="20"/>
        </w:rPr>
        <w:t>párrafo 26</w:t>
      </w:r>
      <w:r w:rsidR="00202E76">
        <w:rPr>
          <w:rFonts w:ascii="Verdana" w:hAnsi="Verdana"/>
          <w:sz w:val="20"/>
          <w:szCs w:val="20"/>
        </w:rPr>
        <w:t>0</w:t>
      </w:r>
      <w:r w:rsidR="00454C7F" w:rsidRPr="00DB01B1">
        <w:rPr>
          <w:rFonts w:ascii="Verdana" w:hAnsi="Verdana"/>
          <w:sz w:val="20"/>
          <w:szCs w:val="20"/>
        </w:rPr>
        <w:t xml:space="preserve"> de la Sentencia</w:t>
      </w:r>
      <w:r w:rsidR="00454C7F" w:rsidRPr="002331A9">
        <w:rPr>
          <w:rFonts w:ascii="Verdana" w:hAnsi="Verdana"/>
          <w:sz w:val="20"/>
          <w:szCs w:val="20"/>
        </w:rPr>
        <w:t>,</w:t>
      </w:r>
      <w:r w:rsidR="00454C7F" w:rsidRPr="005A4DF1">
        <w:rPr>
          <w:rFonts w:ascii="Verdana" w:hAnsi="Verdana"/>
          <w:sz w:val="20"/>
          <w:szCs w:val="20"/>
        </w:rPr>
        <w:t xml:space="preserve"> “</w:t>
      </w:r>
      <w:r w:rsidR="00454C7F" w:rsidRPr="005A4DF1">
        <w:rPr>
          <w:rFonts w:ascii="Verdana" w:hAnsi="Verdana"/>
          <w:bCs/>
          <w:sz w:val="20"/>
          <w:szCs w:val="20"/>
        </w:rPr>
        <w:t>las señoras Rúa, Ospina y sus familiares se vieron privados de sus viviendas”</w:t>
      </w:r>
      <w:r w:rsidR="002B4780" w:rsidRPr="00E75666">
        <w:rPr>
          <w:rStyle w:val="FootnoteReference"/>
          <w:rFonts w:ascii="Verdana" w:hAnsi="Verdana"/>
          <w:bCs/>
          <w:sz w:val="20"/>
          <w:szCs w:val="20"/>
        </w:rPr>
        <w:footnoteReference w:id="83"/>
      </w:r>
      <w:r w:rsidR="00454C7F" w:rsidRPr="005A4DF1">
        <w:rPr>
          <w:rFonts w:ascii="Verdana" w:hAnsi="Verdana"/>
          <w:bCs/>
          <w:sz w:val="20"/>
          <w:szCs w:val="20"/>
        </w:rPr>
        <w:t xml:space="preserve">, </w:t>
      </w:r>
      <w:r w:rsidR="008B0B8B">
        <w:rPr>
          <w:rFonts w:ascii="Verdana" w:hAnsi="Verdana"/>
          <w:bCs/>
          <w:sz w:val="20"/>
          <w:szCs w:val="20"/>
        </w:rPr>
        <w:t>em</w:t>
      </w:r>
      <w:r w:rsidR="00454C7F" w:rsidRPr="005A4DF1">
        <w:rPr>
          <w:rFonts w:ascii="Verdana" w:hAnsi="Verdana"/>
          <w:bCs/>
          <w:sz w:val="20"/>
          <w:szCs w:val="20"/>
        </w:rPr>
        <w:t xml:space="preserve">pero </w:t>
      </w:r>
      <w:r>
        <w:rPr>
          <w:rFonts w:ascii="Verdana" w:hAnsi="Verdana"/>
          <w:bCs/>
          <w:sz w:val="20"/>
          <w:szCs w:val="20"/>
        </w:rPr>
        <w:t>la Corte ID</w:t>
      </w:r>
      <w:r w:rsidR="008B0B8B">
        <w:rPr>
          <w:rFonts w:ascii="Verdana" w:hAnsi="Verdana"/>
          <w:bCs/>
          <w:sz w:val="20"/>
          <w:szCs w:val="20"/>
        </w:rPr>
        <w:t>H</w:t>
      </w:r>
      <w:r w:rsidR="00454C7F" w:rsidRPr="005A4DF1">
        <w:rPr>
          <w:rFonts w:ascii="Verdana" w:hAnsi="Verdana"/>
          <w:bCs/>
          <w:sz w:val="20"/>
          <w:szCs w:val="20"/>
        </w:rPr>
        <w:t xml:space="preserve"> no concluyó que hubo un menoscabo del artículo 11.2 referido.</w:t>
      </w:r>
    </w:p>
    <w:p w14:paraId="113543B4" w14:textId="77777777" w:rsidR="00454C7F" w:rsidRPr="005A4DF1" w:rsidRDefault="00454C7F" w:rsidP="00454C7F">
      <w:pPr>
        <w:pStyle w:val="ListParagraph"/>
        <w:ind w:left="0"/>
        <w:contextualSpacing w:val="0"/>
        <w:jc w:val="both"/>
        <w:rPr>
          <w:rFonts w:ascii="Verdana" w:hAnsi="Verdana"/>
          <w:sz w:val="20"/>
          <w:szCs w:val="20"/>
        </w:rPr>
      </w:pPr>
    </w:p>
    <w:p w14:paraId="437309A3" w14:textId="0F3EE23E" w:rsidR="00454C7F" w:rsidRPr="005A4DF1" w:rsidRDefault="00790894" w:rsidP="00454C7F">
      <w:pPr>
        <w:pStyle w:val="ListParagraph"/>
        <w:ind w:left="0"/>
        <w:contextualSpacing w:val="0"/>
        <w:jc w:val="both"/>
        <w:rPr>
          <w:rFonts w:ascii="Verdana" w:hAnsi="Verdana"/>
          <w:sz w:val="20"/>
          <w:szCs w:val="20"/>
        </w:rPr>
      </w:pPr>
      <w:r>
        <w:rPr>
          <w:rFonts w:ascii="Verdana" w:hAnsi="Verdana"/>
          <w:sz w:val="20"/>
          <w:szCs w:val="20"/>
        </w:rPr>
        <w:t>67</w:t>
      </w:r>
      <w:r w:rsidR="00454C7F" w:rsidRPr="005A4DF1">
        <w:rPr>
          <w:rFonts w:ascii="Verdana" w:hAnsi="Verdana"/>
          <w:sz w:val="20"/>
          <w:szCs w:val="20"/>
        </w:rPr>
        <w:t>.</w:t>
      </w:r>
      <w:r w:rsidR="00454C7F" w:rsidRPr="005A4DF1">
        <w:rPr>
          <w:rFonts w:ascii="Verdana" w:hAnsi="Verdana"/>
          <w:sz w:val="20"/>
          <w:szCs w:val="20"/>
        </w:rPr>
        <w:tab/>
        <w:t xml:space="preserve">De este modo, se advierte que las afectaciones al </w:t>
      </w:r>
      <w:r w:rsidR="00454C7F" w:rsidRPr="008B0B8B">
        <w:rPr>
          <w:rFonts w:ascii="Verdana" w:hAnsi="Verdana"/>
          <w:i/>
          <w:sz w:val="20"/>
          <w:szCs w:val="20"/>
        </w:rPr>
        <w:t>derecho a la vivienda</w:t>
      </w:r>
      <w:r w:rsidR="00454C7F" w:rsidRPr="005A4DF1">
        <w:rPr>
          <w:rFonts w:ascii="Verdana" w:hAnsi="Verdana"/>
          <w:sz w:val="20"/>
          <w:szCs w:val="20"/>
        </w:rPr>
        <w:t xml:space="preserve"> no necesariamente, en cualquier caso, podrán ser analizadas en relación con el menoscabo a otros derechos. Ese es uno de </w:t>
      </w:r>
      <w:r w:rsidR="008B0B8B">
        <w:rPr>
          <w:rFonts w:ascii="Verdana" w:hAnsi="Verdana"/>
          <w:sz w:val="20"/>
          <w:szCs w:val="20"/>
        </w:rPr>
        <w:t>los motivos, entre otros, por el</w:t>
      </w:r>
      <w:r w:rsidR="00454C7F" w:rsidRPr="005A4DF1">
        <w:rPr>
          <w:rFonts w:ascii="Verdana" w:hAnsi="Verdana"/>
          <w:sz w:val="20"/>
          <w:szCs w:val="20"/>
        </w:rPr>
        <w:t xml:space="preserve"> cual </w:t>
      </w:r>
      <w:r w:rsidR="008B0B8B">
        <w:rPr>
          <w:rFonts w:ascii="Verdana" w:hAnsi="Verdana"/>
          <w:sz w:val="20"/>
          <w:szCs w:val="20"/>
        </w:rPr>
        <w:t xml:space="preserve">considero debe protegerse de manera autónoma los derechos sociales a través del artículo 26 de la Convención Americana, lo que demuestra que el debate sobre el particular </w:t>
      </w:r>
      <w:r w:rsidR="00454C7F" w:rsidRPr="005A4DF1">
        <w:rPr>
          <w:rFonts w:ascii="Verdana" w:hAnsi="Verdana"/>
          <w:sz w:val="20"/>
          <w:szCs w:val="20"/>
        </w:rPr>
        <w:t xml:space="preserve">dista de ser una cuestión sin consecuencias prácticas. </w:t>
      </w:r>
    </w:p>
    <w:p w14:paraId="2F45835D" w14:textId="77777777" w:rsidR="00454C7F" w:rsidRPr="005A4DF1" w:rsidRDefault="00454C7F" w:rsidP="00454C7F">
      <w:pPr>
        <w:pStyle w:val="ListParagraph"/>
        <w:ind w:left="0"/>
        <w:contextualSpacing w:val="0"/>
        <w:jc w:val="both"/>
        <w:rPr>
          <w:rFonts w:ascii="Verdana" w:hAnsi="Verdana"/>
          <w:sz w:val="20"/>
          <w:szCs w:val="20"/>
        </w:rPr>
      </w:pPr>
    </w:p>
    <w:p w14:paraId="18CD55C3" w14:textId="3B5EADFF" w:rsidR="00454C7F" w:rsidRPr="005A4DF1" w:rsidRDefault="00790894" w:rsidP="00454C7F">
      <w:pPr>
        <w:pStyle w:val="ListParagraph"/>
        <w:ind w:left="0"/>
        <w:contextualSpacing w:val="0"/>
        <w:jc w:val="both"/>
        <w:rPr>
          <w:rFonts w:ascii="Verdana" w:hAnsi="Verdana"/>
          <w:sz w:val="20"/>
          <w:szCs w:val="20"/>
        </w:rPr>
      </w:pPr>
      <w:r>
        <w:rPr>
          <w:rFonts w:ascii="Verdana" w:hAnsi="Verdana"/>
          <w:sz w:val="20"/>
          <w:szCs w:val="20"/>
        </w:rPr>
        <w:t>68</w:t>
      </w:r>
      <w:r w:rsidR="00454C7F" w:rsidRPr="005A4DF1">
        <w:rPr>
          <w:rFonts w:ascii="Verdana" w:hAnsi="Verdana"/>
          <w:sz w:val="20"/>
          <w:szCs w:val="20"/>
        </w:rPr>
        <w:t>.</w:t>
      </w:r>
      <w:r w:rsidR="00454C7F" w:rsidRPr="005A4DF1">
        <w:rPr>
          <w:rFonts w:ascii="Verdana" w:hAnsi="Verdana"/>
          <w:sz w:val="20"/>
          <w:szCs w:val="20"/>
        </w:rPr>
        <w:tab/>
        <w:t xml:space="preserve">Desde luego, la interdependencia entre los derechos debe ser considerada y es uno de los fundamentos que, en forma análoga a lo que sucede con otros derechos, permite a la Corte </w:t>
      </w:r>
      <w:r w:rsidR="008B0B8B">
        <w:rPr>
          <w:rFonts w:ascii="Verdana" w:hAnsi="Verdana"/>
          <w:sz w:val="20"/>
          <w:szCs w:val="20"/>
        </w:rPr>
        <w:t xml:space="preserve">IDH </w:t>
      </w:r>
      <w:r w:rsidR="00454C7F" w:rsidRPr="005A4DF1">
        <w:rPr>
          <w:rFonts w:ascii="Verdana" w:hAnsi="Verdana"/>
          <w:sz w:val="20"/>
          <w:szCs w:val="20"/>
        </w:rPr>
        <w:t>pronunciarse sobre el derecho a la vivienda</w:t>
      </w:r>
      <w:r w:rsidR="00454C7F" w:rsidRPr="005A4DF1">
        <w:rPr>
          <w:rStyle w:val="FootnoteReference"/>
          <w:rFonts w:ascii="Verdana" w:hAnsi="Verdana"/>
          <w:sz w:val="20"/>
          <w:szCs w:val="20"/>
        </w:rPr>
        <w:footnoteReference w:id="84"/>
      </w:r>
      <w:r w:rsidR="00454C7F" w:rsidRPr="005A4DF1">
        <w:rPr>
          <w:rFonts w:ascii="Verdana" w:hAnsi="Verdana"/>
          <w:sz w:val="20"/>
          <w:szCs w:val="20"/>
        </w:rPr>
        <w:t xml:space="preserve">. </w:t>
      </w:r>
    </w:p>
    <w:p w14:paraId="185FDE8D" w14:textId="77777777" w:rsidR="00454C7F" w:rsidRPr="005A4DF1" w:rsidRDefault="00454C7F" w:rsidP="00454C7F">
      <w:pPr>
        <w:pStyle w:val="ListParagraph"/>
        <w:ind w:left="0"/>
        <w:contextualSpacing w:val="0"/>
        <w:jc w:val="both"/>
        <w:rPr>
          <w:rFonts w:ascii="Verdana" w:hAnsi="Verdana"/>
          <w:sz w:val="20"/>
          <w:szCs w:val="20"/>
        </w:rPr>
      </w:pPr>
    </w:p>
    <w:p w14:paraId="30E9905B" w14:textId="271ABEFE" w:rsidR="00454C7F" w:rsidRPr="005A4DF1" w:rsidRDefault="00790894" w:rsidP="00454C7F">
      <w:pPr>
        <w:pStyle w:val="ListParagraph"/>
        <w:ind w:left="0"/>
        <w:contextualSpacing w:val="0"/>
        <w:jc w:val="both"/>
        <w:rPr>
          <w:rFonts w:ascii="Verdana" w:hAnsi="Verdana"/>
          <w:sz w:val="20"/>
          <w:szCs w:val="20"/>
        </w:rPr>
      </w:pPr>
      <w:r>
        <w:rPr>
          <w:rFonts w:ascii="Verdana" w:hAnsi="Verdana"/>
          <w:sz w:val="20"/>
          <w:szCs w:val="20"/>
        </w:rPr>
        <w:t>69</w:t>
      </w:r>
      <w:r w:rsidR="008B0B8B">
        <w:rPr>
          <w:rFonts w:ascii="Verdana" w:hAnsi="Verdana"/>
          <w:sz w:val="20"/>
          <w:szCs w:val="20"/>
        </w:rPr>
        <w:t>.</w:t>
      </w:r>
      <w:r w:rsidR="008B0B8B">
        <w:rPr>
          <w:rFonts w:ascii="Verdana" w:hAnsi="Verdana"/>
          <w:sz w:val="20"/>
          <w:szCs w:val="20"/>
        </w:rPr>
        <w:tab/>
        <w:t>Más allá</w:t>
      </w:r>
      <w:r w:rsidR="00454C7F" w:rsidRPr="005A4DF1">
        <w:rPr>
          <w:rFonts w:ascii="Verdana" w:hAnsi="Verdana"/>
          <w:sz w:val="20"/>
          <w:szCs w:val="20"/>
        </w:rPr>
        <w:t xml:space="preserve"> de lo anterior, dada esa interdependencia, considero acertado, en general, que la Corte </w:t>
      </w:r>
      <w:r w:rsidR="008B0B8B">
        <w:rPr>
          <w:rFonts w:ascii="Verdana" w:hAnsi="Verdana"/>
          <w:sz w:val="20"/>
          <w:szCs w:val="20"/>
        </w:rPr>
        <w:t xml:space="preserve">IDH </w:t>
      </w:r>
      <w:r w:rsidR="00454C7F" w:rsidRPr="005A4DF1">
        <w:rPr>
          <w:rFonts w:ascii="Verdana" w:hAnsi="Verdana"/>
          <w:sz w:val="20"/>
          <w:szCs w:val="20"/>
        </w:rPr>
        <w:t>en diversos precedentes haya hecho una interpretación amplia de los derechos sobre los que se ha pronunciado, advirtiendo la relación estrecha que existe entre distinto</w:t>
      </w:r>
      <w:r w:rsidR="008B0B8B">
        <w:rPr>
          <w:rFonts w:ascii="Verdana" w:hAnsi="Verdana"/>
          <w:sz w:val="20"/>
          <w:szCs w:val="20"/>
        </w:rPr>
        <w:t>s derechos y permitiendo, de esa forma, su tu</w:t>
      </w:r>
      <w:r w:rsidR="00454C7F" w:rsidRPr="005A4DF1">
        <w:rPr>
          <w:rFonts w:ascii="Verdana" w:hAnsi="Verdana"/>
          <w:sz w:val="20"/>
          <w:szCs w:val="20"/>
        </w:rPr>
        <w:t>tela de un modo más comprensivo</w:t>
      </w:r>
      <w:r w:rsidR="00454C7F" w:rsidRPr="005A4DF1">
        <w:rPr>
          <w:rStyle w:val="FootnoteReference"/>
          <w:rFonts w:ascii="Verdana" w:hAnsi="Verdana"/>
          <w:sz w:val="20"/>
          <w:szCs w:val="20"/>
        </w:rPr>
        <w:footnoteReference w:id="85"/>
      </w:r>
      <w:r w:rsidR="00454C7F" w:rsidRPr="005A4DF1">
        <w:rPr>
          <w:rFonts w:ascii="Verdana" w:hAnsi="Verdana"/>
          <w:sz w:val="20"/>
          <w:szCs w:val="20"/>
        </w:rPr>
        <w:t xml:space="preserve">. </w:t>
      </w:r>
    </w:p>
    <w:p w14:paraId="0B53B154" w14:textId="77777777" w:rsidR="00454C7F" w:rsidRPr="005A4DF1" w:rsidRDefault="00454C7F" w:rsidP="00454C7F">
      <w:pPr>
        <w:pStyle w:val="ListParagraph"/>
        <w:ind w:left="0"/>
        <w:contextualSpacing w:val="0"/>
        <w:jc w:val="both"/>
        <w:rPr>
          <w:rFonts w:ascii="Verdana" w:hAnsi="Verdana"/>
          <w:sz w:val="20"/>
          <w:szCs w:val="20"/>
        </w:rPr>
      </w:pPr>
    </w:p>
    <w:p w14:paraId="24C694D2" w14:textId="1866C5A1" w:rsidR="00454C7F" w:rsidRPr="005A4DF1" w:rsidRDefault="00790894" w:rsidP="00454C7F">
      <w:pPr>
        <w:pStyle w:val="ListParagraph"/>
        <w:ind w:left="0"/>
        <w:contextualSpacing w:val="0"/>
        <w:jc w:val="both"/>
        <w:rPr>
          <w:rFonts w:ascii="Verdana" w:hAnsi="Verdana"/>
          <w:sz w:val="20"/>
          <w:szCs w:val="20"/>
        </w:rPr>
      </w:pPr>
      <w:r>
        <w:rPr>
          <w:rFonts w:ascii="Verdana" w:hAnsi="Verdana"/>
          <w:sz w:val="20"/>
          <w:szCs w:val="20"/>
        </w:rPr>
        <w:t>70</w:t>
      </w:r>
      <w:r w:rsidR="00454C7F" w:rsidRPr="005A4DF1">
        <w:rPr>
          <w:rFonts w:ascii="Verdana" w:hAnsi="Verdana"/>
          <w:sz w:val="20"/>
          <w:szCs w:val="20"/>
        </w:rPr>
        <w:t>.</w:t>
      </w:r>
      <w:r w:rsidR="00454C7F" w:rsidRPr="005A4DF1">
        <w:rPr>
          <w:rFonts w:ascii="Verdana" w:hAnsi="Verdana"/>
          <w:sz w:val="20"/>
          <w:szCs w:val="20"/>
        </w:rPr>
        <w:tab/>
      </w:r>
      <w:r w:rsidR="008B0B8B">
        <w:rPr>
          <w:rFonts w:ascii="Verdana" w:hAnsi="Verdana"/>
          <w:sz w:val="20"/>
          <w:szCs w:val="20"/>
        </w:rPr>
        <w:t>Sin embargo,</w:t>
      </w:r>
      <w:r w:rsidR="00454C7F" w:rsidRPr="005A4DF1">
        <w:rPr>
          <w:rFonts w:ascii="Verdana" w:hAnsi="Verdana"/>
          <w:sz w:val="20"/>
          <w:szCs w:val="20"/>
        </w:rPr>
        <w:t xml:space="preserve"> cada derecho tiene un contenido jurídico propio que no debe perderse de vista</w:t>
      </w:r>
      <w:r w:rsidR="008B0B8B">
        <w:rPr>
          <w:rFonts w:ascii="Verdana" w:hAnsi="Verdana"/>
          <w:sz w:val="20"/>
          <w:szCs w:val="20"/>
        </w:rPr>
        <w:t xml:space="preserve"> y confundirse</w:t>
      </w:r>
      <w:r w:rsidR="00454C7F" w:rsidRPr="005A4DF1">
        <w:rPr>
          <w:rFonts w:ascii="Verdana" w:hAnsi="Verdana"/>
          <w:sz w:val="20"/>
          <w:szCs w:val="20"/>
        </w:rPr>
        <w:t>. Es cierto que algunos aspectos del contenido propio de un derecho podrán, de acuerdo a las distintas circunstancias de cada caso y los derechos en juego, coincidir con aspectos del contenido de otros derechos. Esto permite, en efecto, que cuestiones materialmente atinentes a un derecho puedan, en ciertos casos, ser protegidas mediante otro u otros</w:t>
      </w:r>
      <w:r w:rsidR="00454C7F" w:rsidRPr="005A4DF1">
        <w:rPr>
          <w:rStyle w:val="FootnoteReference"/>
          <w:rFonts w:ascii="Verdana" w:hAnsi="Verdana"/>
          <w:sz w:val="20"/>
          <w:szCs w:val="20"/>
        </w:rPr>
        <w:footnoteReference w:id="86"/>
      </w:r>
      <w:r w:rsidR="00454C7F" w:rsidRPr="005A4DF1">
        <w:rPr>
          <w:rFonts w:ascii="Verdana" w:hAnsi="Verdana"/>
          <w:sz w:val="20"/>
          <w:szCs w:val="20"/>
        </w:rPr>
        <w:t xml:space="preserve">. Sin perjuicio de lo anterior, considero que </w:t>
      </w:r>
      <w:r w:rsidR="00454C7F" w:rsidRPr="009B37C8">
        <w:rPr>
          <w:rFonts w:ascii="Verdana" w:hAnsi="Verdana"/>
          <w:sz w:val="20"/>
          <w:szCs w:val="20"/>
        </w:rPr>
        <w:t xml:space="preserve">la </w:t>
      </w:r>
      <w:r w:rsidR="00454C7F" w:rsidRPr="008757AC">
        <w:rPr>
          <w:rFonts w:ascii="Verdana" w:hAnsi="Verdana"/>
          <w:sz w:val="20"/>
          <w:szCs w:val="20"/>
        </w:rPr>
        <w:t>intelección</w:t>
      </w:r>
      <w:r w:rsidR="00454C7F" w:rsidRPr="005A4DF1">
        <w:rPr>
          <w:rFonts w:ascii="Verdana" w:hAnsi="Verdana"/>
          <w:sz w:val="20"/>
          <w:szCs w:val="20"/>
        </w:rPr>
        <w:t xml:space="preserve"> más adecuada es aquella que tiende a evidenciar la vulneración que haya acaecido en relación con todos los derechos en juego</w:t>
      </w:r>
      <w:r w:rsidR="00454C7F" w:rsidRPr="005A4DF1">
        <w:rPr>
          <w:rStyle w:val="FootnoteReference"/>
          <w:rFonts w:ascii="Verdana" w:hAnsi="Verdana"/>
          <w:sz w:val="20"/>
          <w:szCs w:val="20"/>
        </w:rPr>
        <w:footnoteReference w:id="87"/>
      </w:r>
      <w:r w:rsidR="00872450">
        <w:rPr>
          <w:rFonts w:ascii="Verdana" w:hAnsi="Verdana"/>
          <w:sz w:val="20"/>
          <w:szCs w:val="20"/>
        </w:rPr>
        <w:t>,</w:t>
      </w:r>
      <w:r w:rsidR="00454C7F" w:rsidRPr="005A4DF1">
        <w:rPr>
          <w:rFonts w:ascii="Verdana" w:hAnsi="Verdana"/>
          <w:sz w:val="20"/>
          <w:szCs w:val="20"/>
        </w:rPr>
        <w:t xml:space="preserve"> en la </w:t>
      </w:r>
      <w:r w:rsidR="00454C7F" w:rsidRPr="005A4DF1">
        <w:rPr>
          <w:rFonts w:ascii="Verdana" w:hAnsi="Verdana"/>
          <w:sz w:val="20"/>
          <w:szCs w:val="20"/>
        </w:rPr>
        <w:lastRenderedPageBreak/>
        <w:t xml:space="preserve">medida en que la competencia del </w:t>
      </w:r>
      <w:r w:rsidR="00454C7F" w:rsidRPr="002B4780">
        <w:rPr>
          <w:rFonts w:ascii="Verdana" w:hAnsi="Verdana"/>
          <w:sz w:val="20"/>
          <w:szCs w:val="20"/>
        </w:rPr>
        <w:t>órgano que hace la determinación lo permita</w:t>
      </w:r>
      <w:r w:rsidR="00454C7F" w:rsidRPr="002B4780">
        <w:rPr>
          <w:rStyle w:val="FootnoteReference"/>
          <w:rFonts w:ascii="Verdana" w:hAnsi="Verdana"/>
          <w:sz w:val="20"/>
          <w:szCs w:val="20"/>
        </w:rPr>
        <w:footnoteReference w:id="88"/>
      </w:r>
      <w:r w:rsidR="00454C7F" w:rsidRPr="002B4780">
        <w:rPr>
          <w:rFonts w:ascii="Verdana" w:hAnsi="Verdana"/>
          <w:sz w:val="20"/>
          <w:szCs w:val="20"/>
        </w:rPr>
        <w:t>. Así lo ha efectuado la Corte</w:t>
      </w:r>
      <w:r w:rsidR="008B0B8B" w:rsidRPr="002B4780">
        <w:rPr>
          <w:rFonts w:ascii="Verdana" w:hAnsi="Verdana"/>
          <w:sz w:val="20"/>
          <w:szCs w:val="20"/>
        </w:rPr>
        <w:t xml:space="preserve"> IDH</w:t>
      </w:r>
      <w:r w:rsidR="00454C7F" w:rsidRPr="002B4780">
        <w:rPr>
          <w:rFonts w:ascii="Verdana" w:hAnsi="Verdana"/>
          <w:sz w:val="20"/>
          <w:szCs w:val="20"/>
        </w:rPr>
        <w:t xml:space="preserve"> en los párrafos 16</w:t>
      </w:r>
      <w:r w:rsidR="008B7704">
        <w:rPr>
          <w:rFonts w:ascii="Verdana" w:hAnsi="Verdana"/>
          <w:sz w:val="20"/>
          <w:szCs w:val="20"/>
        </w:rPr>
        <w:t>2</w:t>
      </w:r>
      <w:r w:rsidR="00454C7F" w:rsidRPr="002B4780">
        <w:rPr>
          <w:rFonts w:ascii="Verdana" w:hAnsi="Verdana"/>
          <w:sz w:val="20"/>
          <w:szCs w:val="20"/>
        </w:rPr>
        <w:t xml:space="preserve"> a 16</w:t>
      </w:r>
      <w:r w:rsidR="008B7704">
        <w:rPr>
          <w:rFonts w:ascii="Verdana" w:hAnsi="Verdana"/>
          <w:sz w:val="20"/>
          <w:szCs w:val="20"/>
        </w:rPr>
        <w:t>4</w:t>
      </w:r>
      <w:r w:rsidR="00454C7F" w:rsidRPr="002B4780">
        <w:rPr>
          <w:rFonts w:ascii="Verdana" w:hAnsi="Verdana"/>
          <w:sz w:val="20"/>
          <w:szCs w:val="20"/>
        </w:rPr>
        <w:t xml:space="preserve"> de la Sentencia</w:t>
      </w:r>
      <w:r w:rsidR="008B0B8B" w:rsidRPr="002B4780">
        <w:rPr>
          <w:rFonts w:ascii="Verdana" w:hAnsi="Verdana"/>
          <w:sz w:val="20"/>
          <w:szCs w:val="20"/>
        </w:rPr>
        <w:t>, indicando</w:t>
      </w:r>
      <w:r w:rsidR="00454C7F" w:rsidRPr="002B4780">
        <w:rPr>
          <w:rFonts w:ascii="Verdana" w:hAnsi="Verdana"/>
          <w:sz w:val="20"/>
          <w:szCs w:val="20"/>
        </w:rPr>
        <w:t xml:space="preserve"> cómo a partir del mismo acto de detención de tres de l</w:t>
      </w:r>
      <w:r w:rsidR="008B0B8B" w:rsidRPr="002B4780">
        <w:rPr>
          <w:rFonts w:ascii="Verdana" w:hAnsi="Verdana"/>
          <w:sz w:val="20"/>
          <w:szCs w:val="20"/>
        </w:rPr>
        <w:t>as víctimas, dadas las caracterí</w:t>
      </w:r>
      <w:r w:rsidR="00454C7F" w:rsidRPr="002B4780">
        <w:rPr>
          <w:rFonts w:ascii="Verdana" w:hAnsi="Verdana"/>
          <w:sz w:val="20"/>
          <w:szCs w:val="20"/>
        </w:rPr>
        <w:t>sticas del caso, se afectó no solo su derecho a la libertad personal, sino también los derechos a la integridad personal</w:t>
      </w:r>
      <w:r w:rsidR="00454C7F" w:rsidRPr="005A4DF1">
        <w:rPr>
          <w:rFonts w:ascii="Verdana" w:hAnsi="Verdana"/>
          <w:sz w:val="20"/>
          <w:szCs w:val="20"/>
        </w:rPr>
        <w:t xml:space="preserve"> y a la protección de la honra y de la dignidad</w:t>
      </w:r>
      <w:r w:rsidR="002B4780">
        <w:rPr>
          <w:rStyle w:val="FootnoteReference"/>
          <w:rFonts w:ascii="Verdana" w:hAnsi="Verdana"/>
          <w:sz w:val="20"/>
          <w:szCs w:val="20"/>
        </w:rPr>
        <w:footnoteReference w:id="89"/>
      </w:r>
      <w:r w:rsidR="008D7E1E">
        <w:rPr>
          <w:rFonts w:ascii="Verdana" w:hAnsi="Verdana"/>
          <w:sz w:val="20"/>
          <w:szCs w:val="20"/>
        </w:rPr>
        <w:t>. Por ejemplo</w:t>
      </w:r>
      <w:r w:rsidR="00454C7F" w:rsidRPr="005A4DF1">
        <w:rPr>
          <w:rFonts w:ascii="Verdana" w:hAnsi="Verdana"/>
          <w:sz w:val="20"/>
          <w:szCs w:val="20"/>
        </w:rPr>
        <w:t xml:space="preserve">, es constante la jurisprudencia de la Corte </w:t>
      </w:r>
      <w:r w:rsidR="008B0B8B">
        <w:rPr>
          <w:rFonts w:ascii="Verdana" w:hAnsi="Verdana"/>
          <w:sz w:val="20"/>
          <w:szCs w:val="20"/>
        </w:rPr>
        <w:t xml:space="preserve">IDH </w:t>
      </w:r>
      <w:r w:rsidR="00454C7F" w:rsidRPr="005A4DF1">
        <w:rPr>
          <w:rFonts w:ascii="Verdana" w:hAnsi="Verdana"/>
          <w:sz w:val="20"/>
          <w:szCs w:val="20"/>
        </w:rPr>
        <w:t xml:space="preserve">en considerar que la desaparición forzada es una violación </w:t>
      </w:r>
      <w:proofErr w:type="spellStart"/>
      <w:r w:rsidR="00454C7F" w:rsidRPr="005A4DF1">
        <w:rPr>
          <w:rFonts w:ascii="Verdana" w:hAnsi="Verdana"/>
          <w:sz w:val="20"/>
          <w:szCs w:val="20"/>
        </w:rPr>
        <w:t>pluriofensiva</w:t>
      </w:r>
      <w:proofErr w:type="spellEnd"/>
      <w:r w:rsidR="00454C7F" w:rsidRPr="005A4DF1">
        <w:rPr>
          <w:rFonts w:ascii="Verdana" w:hAnsi="Verdana"/>
          <w:sz w:val="20"/>
          <w:szCs w:val="20"/>
        </w:rPr>
        <w:t>, que ataca por igual diversos derechos</w:t>
      </w:r>
      <w:r w:rsidR="00454C7F" w:rsidRPr="005A4DF1">
        <w:rPr>
          <w:rStyle w:val="FootnoteReference"/>
          <w:rFonts w:ascii="Verdana" w:hAnsi="Verdana"/>
          <w:sz w:val="20"/>
          <w:szCs w:val="20"/>
        </w:rPr>
        <w:footnoteReference w:id="90"/>
      </w:r>
      <w:r w:rsidR="00454C7F" w:rsidRPr="005A4DF1">
        <w:rPr>
          <w:rFonts w:ascii="Verdana" w:hAnsi="Verdana"/>
          <w:sz w:val="20"/>
          <w:szCs w:val="20"/>
        </w:rPr>
        <w:t xml:space="preserve">. </w:t>
      </w:r>
    </w:p>
    <w:p w14:paraId="714803B1" w14:textId="77777777" w:rsidR="00454C7F" w:rsidRPr="005A4DF1" w:rsidRDefault="00454C7F" w:rsidP="00454C7F">
      <w:pPr>
        <w:pStyle w:val="ListParagraph"/>
        <w:ind w:left="0"/>
        <w:contextualSpacing w:val="0"/>
        <w:jc w:val="both"/>
        <w:rPr>
          <w:rFonts w:ascii="Verdana" w:hAnsi="Verdana"/>
          <w:sz w:val="20"/>
          <w:szCs w:val="20"/>
        </w:rPr>
      </w:pPr>
    </w:p>
    <w:p w14:paraId="72C2A179" w14:textId="2E557C83" w:rsidR="00454C7F" w:rsidRPr="005A4DF1" w:rsidRDefault="00790894" w:rsidP="00454C7F">
      <w:pPr>
        <w:pStyle w:val="ListParagraph"/>
        <w:ind w:left="0"/>
        <w:contextualSpacing w:val="0"/>
        <w:jc w:val="both"/>
        <w:rPr>
          <w:rFonts w:ascii="Verdana" w:hAnsi="Verdana"/>
          <w:sz w:val="20"/>
          <w:szCs w:val="20"/>
        </w:rPr>
      </w:pPr>
      <w:r>
        <w:rPr>
          <w:rFonts w:ascii="Verdana" w:hAnsi="Verdana"/>
          <w:sz w:val="20"/>
          <w:szCs w:val="20"/>
        </w:rPr>
        <w:t>71</w:t>
      </w:r>
      <w:r w:rsidR="00454C7F" w:rsidRPr="005A4DF1">
        <w:rPr>
          <w:rFonts w:ascii="Verdana" w:hAnsi="Verdana"/>
          <w:sz w:val="20"/>
          <w:szCs w:val="20"/>
        </w:rPr>
        <w:t>.</w:t>
      </w:r>
      <w:r w:rsidR="00454C7F" w:rsidRPr="005A4DF1">
        <w:rPr>
          <w:rFonts w:ascii="Verdana" w:hAnsi="Verdana"/>
          <w:sz w:val="20"/>
          <w:szCs w:val="20"/>
        </w:rPr>
        <w:tab/>
        <w:t xml:space="preserve">Entiendo </w:t>
      </w:r>
      <w:r w:rsidR="00454C7F" w:rsidRPr="00014EB7">
        <w:rPr>
          <w:rFonts w:ascii="Verdana" w:hAnsi="Verdana"/>
          <w:sz w:val="20"/>
          <w:szCs w:val="20"/>
        </w:rPr>
        <w:t xml:space="preserve">que los fundamentos anteriores hubieran permitido a la Corte </w:t>
      </w:r>
      <w:r w:rsidR="008B0B8B" w:rsidRPr="00014EB7">
        <w:rPr>
          <w:rFonts w:ascii="Verdana" w:hAnsi="Verdana"/>
          <w:sz w:val="20"/>
          <w:szCs w:val="20"/>
        </w:rPr>
        <w:t xml:space="preserve">IDH </w:t>
      </w:r>
      <w:r w:rsidR="00454C7F" w:rsidRPr="00014EB7">
        <w:rPr>
          <w:rFonts w:ascii="Verdana" w:hAnsi="Verdana"/>
          <w:sz w:val="20"/>
          <w:szCs w:val="20"/>
        </w:rPr>
        <w:t xml:space="preserve">no sólo determinar en el caso una vulneración al derecho a la propiedad (por los motivos expresados en los </w:t>
      </w:r>
      <w:r w:rsidR="00454C7F" w:rsidRPr="00DB01B1">
        <w:rPr>
          <w:rFonts w:ascii="Verdana" w:hAnsi="Verdana"/>
          <w:sz w:val="20"/>
          <w:szCs w:val="20"/>
        </w:rPr>
        <w:t>párrafos 25</w:t>
      </w:r>
      <w:r w:rsidR="002D574A">
        <w:rPr>
          <w:rFonts w:ascii="Verdana" w:hAnsi="Verdana"/>
          <w:sz w:val="20"/>
          <w:szCs w:val="20"/>
        </w:rPr>
        <w:t>7</w:t>
      </w:r>
      <w:r w:rsidR="00454C7F" w:rsidRPr="00DB01B1">
        <w:rPr>
          <w:rFonts w:ascii="Verdana" w:hAnsi="Verdana"/>
          <w:sz w:val="20"/>
          <w:szCs w:val="20"/>
        </w:rPr>
        <w:t xml:space="preserve"> a 26</w:t>
      </w:r>
      <w:r w:rsidR="002D574A">
        <w:rPr>
          <w:rFonts w:ascii="Verdana" w:hAnsi="Verdana"/>
          <w:sz w:val="20"/>
          <w:szCs w:val="20"/>
        </w:rPr>
        <w:t>2</w:t>
      </w:r>
      <w:r w:rsidR="00454C7F" w:rsidRPr="00DB01B1">
        <w:rPr>
          <w:rFonts w:ascii="Verdana" w:hAnsi="Verdana"/>
          <w:sz w:val="20"/>
          <w:szCs w:val="20"/>
        </w:rPr>
        <w:t xml:space="preserve"> de la Sentencia</w:t>
      </w:r>
      <w:r w:rsidR="002B4780" w:rsidRPr="00014EB7">
        <w:rPr>
          <w:rStyle w:val="FootnoteReference"/>
          <w:rFonts w:ascii="Verdana" w:hAnsi="Verdana"/>
          <w:sz w:val="20"/>
          <w:szCs w:val="20"/>
        </w:rPr>
        <w:footnoteReference w:id="91"/>
      </w:r>
      <w:r w:rsidR="00454C7F" w:rsidRPr="00014EB7">
        <w:rPr>
          <w:rFonts w:ascii="Verdana" w:hAnsi="Verdana"/>
          <w:sz w:val="20"/>
          <w:szCs w:val="20"/>
        </w:rPr>
        <w:t>), sino también analizar la procedencia de establecer, además, una afrenta al</w:t>
      </w:r>
      <w:r w:rsidR="00454C7F" w:rsidRPr="005A4DF1">
        <w:rPr>
          <w:rFonts w:ascii="Verdana" w:hAnsi="Verdana"/>
          <w:sz w:val="20"/>
          <w:szCs w:val="20"/>
        </w:rPr>
        <w:t xml:space="preserve"> derecho a la vivienda</w:t>
      </w:r>
      <w:r w:rsidR="00077A81" w:rsidRPr="00E75666">
        <w:rPr>
          <w:rFonts w:ascii="Verdana" w:hAnsi="Verdana"/>
          <w:sz w:val="20"/>
          <w:szCs w:val="20"/>
        </w:rPr>
        <w:t>.</w:t>
      </w:r>
    </w:p>
    <w:p w14:paraId="2FB988AF" w14:textId="77777777" w:rsidR="00454C7F" w:rsidRPr="005A4DF1" w:rsidRDefault="00454C7F" w:rsidP="00454C7F">
      <w:pPr>
        <w:pStyle w:val="ListParagraph"/>
        <w:ind w:left="0"/>
        <w:contextualSpacing w:val="0"/>
        <w:jc w:val="both"/>
        <w:rPr>
          <w:rFonts w:ascii="Verdana" w:hAnsi="Verdana"/>
          <w:sz w:val="20"/>
          <w:szCs w:val="20"/>
        </w:rPr>
      </w:pPr>
    </w:p>
    <w:p w14:paraId="7BBD6070" w14:textId="7BB8FA69" w:rsidR="00454C7F" w:rsidRPr="008B0B8B" w:rsidRDefault="00790894" w:rsidP="00454C7F">
      <w:pPr>
        <w:pStyle w:val="ListParagraph"/>
        <w:ind w:left="0"/>
        <w:contextualSpacing w:val="0"/>
        <w:jc w:val="both"/>
        <w:rPr>
          <w:rFonts w:ascii="Verdana" w:hAnsi="Verdana"/>
          <w:i/>
          <w:sz w:val="20"/>
          <w:szCs w:val="20"/>
        </w:rPr>
      </w:pPr>
      <w:r>
        <w:rPr>
          <w:rFonts w:ascii="Verdana" w:hAnsi="Verdana"/>
          <w:sz w:val="20"/>
          <w:szCs w:val="20"/>
        </w:rPr>
        <w:t>72</w:t>
      </w:r>
      <w:r w:rsidR="00454C7F" w:rsidRPr="005A4DF1">
        <w:rPr>
          <w:rFonts w:ascii="Verdana" w:hAnsi="Verdana"/>
          <w:sz w:val="20"/>
          <w:szCs w:val="20"/>
        </w:rPr>
        <w:t>.</w:t>
      </w:r>
      <w:r w:rsidR="00454C7F" w:rsidRPr="005A4DF1">
        <w:rPr>
          <w:rFonts w:ascii="Verdana" w:hAnsi="Verdana"/>
          <w:sz w:val="20"/>
          <w:szCs w:val="20"/>
        </w:rPr>
        <w:tab/>
        <w:t>La afirmación anterior tiene por presupuesto considerar que las obligaciones estatales respecto al derecho de propiedad y relativas al derecho a la vivienda eran, en lo rel</w:t>
      </w:r>
      <w:r w:rsidR="008B0B8B">
        <w:rPr>
          <w:rFonts w:ascii="Verdana" w:hAnsi="Verdana"/>
          <w:sz w:val="20"/>
          <w:szCs w:val="20"/>
        </w:rPr>
        <w:t>evante para el caso, las mismas,</w:t>
      </w:r>
      <w:r w:rsidR="00454C7F" w:rsidRPr="005A4DF1">
        <w:rPr>
          <w:rFonts w:ascii="Verdana" w:hAnsi="Verdana"/>
          <w:sz w:val="20"/>
          <w:szCs w:val="20"/>
        </w:rPr>
        <w:t xml:space="preserve"> y que su inobservancia pod</w:t>
      </w:r>
      <w:r w:rsidR="008B0B8B">
        <w:rPr>
          <w:rFonts w:ascii="Verdana" w:hAnsi="Verdana"/>
          <w:sz w:val="20"/>
          <w:szCs w:val="20"/>
        </w:rPr>
        <w:t>r</w:t>
      </w:r>
      <w:r w:rsidR="00454C7F" w:rsidRPr="005A4DF1">
        <w:rPr>
          <w:rFonts w:ascii="Verdana" w:hAnsi="Verdana"/>
          <w:sz w:val="20"/>
          <w:szCs w:val="20"/>
        </w:rPr>
        <w:t xml:space="preserve">ía </w:t>
      </w:r>
      <w:r w:rsidR="008B0B8B">
        <w:rPr>
          <w:rFonts w:ascii="Verdana" w:hAnsi="Verdana"/>
          <w:sz w:val="20"/>
          <w:szCs w:val="20"/>
        </w:rPr>
        <w:t>haber sido</w:t>
      </w:r>
      <w:r w:rsidR="00454C7F" w:rsidRPr="005A4DF1">
        <w:rPr>
          <w:rFonts w:ascii="Verdana" w:hAnsi="Verdana"/>
          <w:sz w:val="20"/>
          <w:szCs w:val="20"/>
        </w:rPr>
        <w:t xml:space="preserve"> declarada por la Corte</w:t>
      </w:r>
      <w:r w:rsidR="008B0B8B">
        <w:rPr>
          <w:rFonts w:ascii="Verdana" w:hAnsi="Verdana"/>
          <w:sz w:val="20"/>
          <w:szCs w:val="20"/>
        </w:rPr>
        <w:t xml:space="preserve"> IDH</w:t>
      </w:r>
      <w:r w:rsidR="00454C7F" w:rsidRPr="005A4DF1">
        <w:rPr>
          <w:rFonts w:ascii="Verdana" w:hAnsi="Verdana"/>
          <w:sz w:val="20"/>
          <w:szCs w:val="20"/>
        </w:rPr>
        <w:t xml:space="preserve">. Teniendo en cuenta que el </w:t>
      </w:r>
      <w:r w:rsidR="00454C7F" w:rsidRPr="008B0B8B">
        <w:rPr>
          <w:rFonts w:ascii="Verdana" w:hAnsi="Verdana"/>
          <w:i/>
          <w:sz w:val="20"/>
          <w:szCs w:val="20"/>
        </w:rPr>
        <w:t>derecho a la vivienda</w:t>
      </w:r>
      <w:r w:rsidR="00454C7F" w:rsidRPr="005A4DF1">
        <w:rPr>
          <w:rFonts w:ascii="Verdana" w:hAnsi="Verdana"/>
          <w:sz w:val="20"/>
          <w:szCs w:val="20"/>
        </w:rPr>
        <w:t xml:space="preserve"> es un derecho cobijado bajo el artículo 26 de la Convención</w:t>
      </w:r>
      <w:r w:rsidR="008B0B8B">
        <w:rPr>
          <w:rFonts w:ascii="Verdana" w:hAnsi="Verdana"/>
          <w:sz w:val="20"/>
          <w:szCs w:val="20"/>
        </w:rPr>
        <w:t xml:space="preserve"> Americana</w:t>
      </w:r>
      <w:r w:rsidR="00454C7F" w:rsidRPr="005A4DF1">
        <w:rPr>
          <w:rFonts w:ascii="Verdana" w:hAnsi="Verdana"/>
          <w:sz w:val="20"/>
          <w:szCs w:val="20"/>
        </w:rPr>
        <w:t>, incorporado en el capítulo III del tratado, denominado “Derechos económicos, sociales y culturales”, que es distinto al capítulo II, llamado “Derechos civiles y políticos”, en el que se encuentra el derecho de propiedad, considero relevante hacer algunas precisiones al respecto. Por ello referiré ahora alg</w:t>
      </w:r>
      <w:r w:rsidR="008B0B8B">
        <w:rPr>
          <w:rFonts w:ascii="Verdana" w:hAnsi="Verdana"/>
          <w:sz w:val="20"/>
          <w:szCs w:val="20"/>
        </w:rPr>
        <w:t>unas consideraciones sobre el ré</w:t>
      </w:r>
      <w:r w:rsidR="00454C7F" w:rsidRPr="005A4DF1">
        <w:rPr>
          <w:rFonts w:ascii="Verdana" w:hAnsi="Verdana"/>
          <w:sz w:val="20"/>
          <w:szCs w:val="20"/>
        </w:rPr>
        <w:t>gimen obligacional respecto a los derechos económicos, sociales y culturales</w:t>
      </w:r>
      <w:r w:rsidR="008B0B8B">
        <w:rPr>
          <w:rFonts w:ascii="Verdana" w:hAnsi="Verdana"/>
          <w:sz w:val="20"/>
          <w:szCs w:val="20"/>
        </w:rPr>
        <w:t>,</w:t>
      </w:r>
      <w:r w:rsidR="00454C7F" w:rsidRPr="005A4DF1">
        <w:rPr>
          <w:rFonts w:ascii="Verdana" w:hAnsi="Verdana"/>
          <w:sz w:val="20"/>
          <w:szCs w:val="20"/>
        </w:rPr>
        <w:t xml:space="preserve"> y </w:t>
      </w:r>
      <w:r w:rsidR="008B0B8B">
        <w:rPr>
          <w:rFonts w:ascii="Verdana" w:hAnsi="Verdana"/>
          <w:sz w:val="20"/>
          <w:szCs w:val="20"/>
        </w:rPr>
        <w:t xml:space="preserve">de manera particular </w:t>
      </w:r>
      <w:r w:rsidR="00454C7F" w:rsidRPr="005A4DF1">
        <w:rPr>
          <w:rFonts w:ascii="Verdana" w:hAnsi="Verdana"/>
          <w:sz w:val="20"/>
          <w:szCs w:val="20"/>
        </w:rPr>
        <w:t xml:space="preserve">al </w:t>
      </w:r>
      <w:r w:rsidR="00454C7F" w:rsidRPr="008B0B8B">
        <w:rPr>
          <w:rFonts w:ascii="Verdana" w:hAnsi="Verdana"/>
          <w:i/>
          <w:sz w:val="20"/>
          <w:szCs w:val="20"/>
        </w:rPr>
        <w:t xml:space="preserve">derecho a la vivienda. </w:t>
      </w:r>
    </w:p>
    <w:p w14:paraId="7F4BAD53" w14:textId="77777777" w:rsidR="00454C7F" w:rsidRPr="005A4DF1" w:rsidRDefault="00454C7F" w:rsidP="00454C7F">
      <w:pPr>
        <w:pStyle w:val="ListParagraph"/>
        <w:ind w:left="0"/>
        <w:contextualSpacing w:val="0"/>
        <w:jc w:val="both"/>
        <w:rPr>
          <w:rFonts w:ascii="Verdana" w:hAnsi="Verdana"/>
          <w:sz w:val="20"/>
          <w:szCs w:val="20"/>
        </w:rPr>
      </w:pPr>
    </w:p>
    <w:p w14:paraId="154557F8" w14:textId="698DFB7C" w:rsidR="00454C7F" w:rsidRPr="005A4DF1" w:rsidRDefault="00454C7F" w:rsidP="00454C7F">
      <w:pPr>
        <w:pStyle w:val="ListParagraph"/>
        <w:ind w:left="284"/>
        <w:contextualSpacing w:val="0"/>
        <w:jc w:val="both"/>
        <w:rPr>
          <w:rFonts w:ascii="Verdana" w:hAnsi="Verdana"/>
          <w:i/>
          <w:sz w:val="20"/>
          <w:szCs w:val="20"/>
        </w:rPr>
      </w:pPr>
      <w:r w:rsidRPr="005A4DF1">
        <w:rPr>
          <w:rFonts w:ascii="Verdana" w:hAnsi="Verdana"/>
          <w:i/>
          <w:sz w:val="20"/>
          <w:szCs w:val="20"/>
        </w:rPr>
        <w:t>C.</w:t>
      </w:r>
      <w:r w:rsidR="005A4DF1" w:rsidRPr="005A4DF1">
        <w:rPr>
          <w:rFonts w:ascii="Verdana" w:hAnsi="Verdana"/>
          <w:i/>
          <w:sz w:val="20"/>
          <w:szCs w:val="20"/>
        </w:rPr>
        <w:t xml:space="preserve"> </w:t>
      </w:r>
      <w:r w:rsidRPr="005A4DF1">
        <w:rPr>
          <w:rFonts w:ascii="Verdana" w:hAnsi="Verdana"/>
          <w:i/>
          <w:sz w:val="20"/>
          <w:szCs w:val="20"/>
          <w:u w:val="single"/>
        </w:rPr>
        <w:t xml:space="preserve">Obligaciones </w:t>
      </w:r>
      <w:r w:rsidR="005A4DF1" w:rsidRPr="005A4DF1">
        <w:rPr>
          <w:rFonts w:ascii="Verdana" w:hAnsi="Verdana"/>
          <w:i/>
          <w:sz w:val="20"/>
          <w:szCs w:val="20"/>
          <w:u w:val="single"/>
        </w:rPr>
        <w:t>de respeto y garantía</w:t>
      </w:r>
    </w:p>
    <w:p w14:paraId="204C80AA" w14:textId="77777777" w:rsidR="00454C7F" w:rsidRPr="005A4DF1" w:rsidRDefault="00454C7F" w:rsidP="00454C7F">
      <w:pPr>
        <w:pStyle w:val="ListParagraph"/>
        <w:ind w:left="0"/>
        <w:contextualSpacing w:val="0"/>
        <w:jc w:val="both"/>
        <w:rPr>
          <w:rFonts w:ascii="Verdana" w:hAnsi="Verdana"/>
          <w:sz w:val="20"/>
          <w:szCs w:val="20"/>
        </w:rPr>
      </w:pPr>
    </w:p>
    <w:p w14:paraId="31F0BCBF" w14:textId="77777777" w:rsidR="00454C7F" w:rsidRPr="005A4DF1" w:rsidRDefault="00454C7F" w:rsidP="00454C7F">
      <w:pPr>
        <w:pStyle w:val="ListParagraph"/>
        <w:ind w:left="567"/>
        <w:contextualSpacing w:val="0"/>
        <w:jc w:val="both"/>
        <w:rPr>
          <w:rFonts w:ascii="Verdana" w:hAnsi="Verdana"/>
          <w:i/>
          <w:sz w:val="20"/>
          <w:szCs w:val="20"/>
        </w:rPr>
      </w:pPr>
      <w:r w:rsidRPr="005A4DF1">
        <w:rPr>
          <w:rFonts w:ascii="Verdana" w:hAnsi="Verdana"/>
          <w:i/>
          <w:sz w:val="20"/>
          <w:szCs w:val="20"/>
        </w:rPr>
        <w:t>C.1. Aspectos generales</w:t>
      </w:r>
    </w:p>
    <w:p w14:paraId="7B85ADB2" w14:textId="77777777" w:rsidR="00454C7F" w:rsidRPr="005A4DF1" w:rsidRDefault="00454C7F" w:rsidP="00454C7F">
      <w:pPr>
        <w:pStyle w:val="ListParagraph"/>
        <w:ind w:left="0"/>
        <w:contextualSpacing w:val="0"/>
        <w:jc w:val="both"/>
        <w:rPr>
          <w:rFonts w:ascii="Verdana" w:hAnsi="Verdana"/>
          <w:sz w:val="20"/>
          <w:szCs w:val="20"/>
        </w:rPr>
      </w:pPr>
    </w:p>
    <w:p w14:paraId="52657C5A" w14:textId="729FC551" w:rsidR="00454C7F" w:rsidRPr="005A4DF1" w:rsidRDefault="00790894" w:rsidP="00454C7F">
      <w:pPr>
        <w:pStyle w:val="ListParagraph"/>
        <w:ind w:left="0"/>
        <w:contextualSpacing w:val="0"/>
        <w:jc w:val="both"/>
        <w:rPr>
          <w:rFonts w:ascii="Verdana" w:hAnsi="Verdana"/>
          <w:i/>
          <w:sz w:val="20"/>
          <w:szCs w:val="20"/>
        </w:rPr>
      </w:pPr>
      <w:r>
        <w:rPr>
          <w:rFonts w:ascii="Verdana" w:hAnsi="Verdana"/>
          <w:sz w:val="20"/>
          <w:szCs w:val="20"/>
        </w:rPr>
        <w:t>73</w:t>
      </w:r>
      <w:r w:rsidR="00454C7F" w:rsidRPr="005A4DF1">
        <w:rPr>
          <w:rFonts w:ascii="Verdana" w:hAnsi="Verdana"/>
          <w:sz w:val="20"/>
          <w:szCs w:val="20"/>
        </w:rPr>
        <w:t>.</w:t>
      </w:r>
      <w:r w:rsidR="00454C7F" w:rsidRPr="005A4DF1">
        <w:rPr>
          <w:rFonts w:ascii="Verdana" w:hAnsi="Verdana"/>
          <w:sz w:val="20"/>
          <w:szCs w:val="20"/>
        </w:rPr>
        <w:tab/>
        <w:t xml:space="preserve">Como ya lo he señalado en el cuarto párrafo de mi voto razonado sobre la Sentencia de la Corte respecto al </w:t>
      </w:r>
      <w:r w:rsidR="00E97B90">
        <w:rPr>
          <w:rFonts w:ascii="Verdana" w:hAnsi="Verdana"/>
          <w:i/>
          <w:sz w:val="20"/>
          <w:szCs w:val="20"/>
        </w:rPr>
        <w:t>Caso Suarez Peralta V</w:t>
      </w:r>
      <w:r w:rsidR="00454C7F" w:rsidRPr="005A4DF1">
        <w:rPr>
          <w:rFonts w:ascii="Verdana" w:hAnsi="Verdana"/>
          <w:i/>
          <w:sz w:val="20"/>
          <w:szCs w:val="20"/>
        </w:rPr>
        <w:t>s. Ecuador</w:t>
      </w:r>
      <w:r w:rsidR="00454C7F" w:rsidRPr="005A4DF1">
        <w:rPr>
          <w:rStyle w:val="FootnoteReference"/>
          <w:rFonts w:ascii="Verdana" w:hAnsi="Verdana"/>
          <w:i/>
          <w:sz w:val="20"/>
          <w:szCs w:val="20"/>
        </w:rPr>
        <w:footnoteReference w:id="92"/>
      </w:r>
      <w:r w:rsidR="00E97B90">
        <w:rPr>
          <w:rFonts w:ascii="Verdana" w:hAnsi="Verdana"/>
          <w:i/>
          <w:sz w:val="20"/>
          <w:szCs w:val="20"/>
        </w:rPr>
        <w:t>:</w:t>
      </w:r>
      <w:r w:rsidR="00454C7F" w:rsidRPr="005A4DF1">
        <w:rPr>
          <w:rFonts w:ascii="Verdana" w:hAnsi="Verdana"/>
          <w:i/>
          <w:sz w:val="20"/>
          <w:szCs w:val="20"/>
        </w:rPr>
        <w:t xml:space="preserve"> </w:t>
      </w:r>
    </w:p>
    <w:p w14:paraId="1A6057BF" w14:textId="77777777" w:rsidR="00454C7F" w:rsidRPr="005A4DF1" w:rsidRDefault="00454C7F" w:rsidP="00454C7F">
      <w:pPr>
        <w:pStyle w:val="ListParagraph"/>
        <w:ind w:left="0"/>
        <w:contextualSpacing w:val="0"/>
        <w:jc w:val="both"/>
        <w:rPr>
          <w:rFonts w:ascii="Verdana" w:hAnsi="Verdana"/>
          <w:i/>
          <w:sz w:val="20"/>
          <w:szCs w:val="20"/>
        </w:rPr>
      </w:pPr>
    </w:p>
    <w:p w14:paraId="7D130610" w14:textId="50062B99" w:rsidR="00454C7F" w:rsidRPr="0070163D" w:rsidRDefault="00454C7F" w:rsidP="00454C7F">
      <w:pPr>
        <w:pStyle w:val="ListParagraph"/>
        <w:ind w:left="567" w:right="333"/>
        <w:contextualSpacing w:val="0"/>
        <w:jc w:val="both"/>
        <w:rPr>
          <w:rFonts w:ascii="Verdana" w:hAnsi="Verdana"/>
          <w:sz w:val="16"/>
          <w:szCs w:val="16"/>
        </w:rPr>
      </w:pPr>
      <w:r w:rsidRPr="0070163D">
        <w:rPr>
          <w:rFonts w:ascii="Verdana" w:hAnsi="Verdana"/>
          <w:sz w:val="16"/>
          <w:szCs w:val="16"/>
        </w:rPr>
        <w:t xml:space="preserve">las obligaciones generales de “respeto” y “garantía” que prevé el [artículo 1.1] convencional —conjuntamente con la obligación de ‘adecuación’ del artículo 2 de la propia Convención </w:t>
      </w:r>
      <w:r w:rsidRPr="0070163D">
        <w:rPr>
          <w:rFonts w:ascii="Verdana" w:hAnsi="Verdana"/>
          <w:sz w:val="16"/>
          <w:szCs w:val="16"/>
        </w:rPr>
        <w:lastRenderedPageBreak/>
        <w:t xml:space="preserve">Americana— aplican a </w:t>
      </w:r>
      <w:r w:rsidRPr="0070163D">
        <w:rPr>
          <w:rFonts w:ascii="Verdana" w:hAnsi="Verdana"/>
          <w:i/>
          <w:sz w:val="16"/>
          <w:szCs w:val="16"/>
        </w:rPr>
        <w:t>todos los derechos</w:t>
      </w:r>
      <w:r w:rsidRPr="0070163D">
        <w:rPr>
          <w:rFonts w:ascii="Verdana" w:hAnsi="Verdana"/>
          <w:sz w:val="16"/>
          <w:szCs w:val="16"/>
        </w:rPr>
        <w:t>, sean civiles, políticos, económicos, sociales y culturales”. En la misma oportunidad noté que “</w:t>
      </w:r>
      <w:r w:rsidRPr="0070163D">
        <w:rPr>
          <w:rFonts w:ascii="Verdana" w:hAnsi="Verdana"/>
          <w:color w:val="000000"/>
          <w:sz w:val="16"/>
          <w:szCs w:val="16"/>
        </w:rPr>
        <w:t xml:space="preserve">el artículo 26 está dentro de la Parte I (Deberes de los Estados y Derechos Protegidos) de la Convención Americana y, por lo tanto, le es aplicable las obligaciones generales de los Estados previstas en los artículos 1.1 y 2 del mismo Pacto, como fue reconocido por el propio Tribunal Interamericano en el </w:t>
      </w:r>
      <w:r w:rsidRPr="0070163D">
        <w:rPr>
          <w:rFonts w:ascii="Verdana" w:hAnsi="Verdana"/>
          <w:i/>
          <w:color w:val="000000"/>
          <w:sz w:val="16"/>
          <w:szCs w:val="16"/>
        </w:rPr>
        <w:t>Caso Acevedo Buendía Vs. Perú</w:t>
      </w:r>
      <w:r w:rsidRPr="0070163D">
        <w:rPr>
          <w:rStyle w:val="FootnoteReference"/>
          <w:rFonts w:ascii="Verdana" w:hAnsi="Verdana"/>
          <w:i/>
          <w:color w:val="000000"/>
          <w:sz w:val="16"/>
          <w:szCs w:val="16"/>
        </w:rPr>
        <w:footnoteReference w:id="93"/>
      </w:r>
      <w:r w:rsidRPr="0070163D">
        <w:rPr>
          <w:rFonts w:ascii="Verdana" w:hAnsi="Verdana"/>
          <w:i/>
          <w:color w:val="000000"/>
          <w:sz w:val="16"/>
          <w:szCs w:val="16"/>
        </w:rPr>
        <w:t xml:space="preserve">. </w:t>
      </w:r>
    </w:p>
    <w:p w14:paraId="5DDC7F2F" w14:textId="77777777" w:rsidR="00454C7F" w:rsidRPr="005A4DF1" w:rsidRDefault="00454C7F" w:rsidP="00454C7F">
      <w:pPr>
        <w:pStyle w:val="ListParagraph"/>
        <w:ind w:left="0"/>
        <w:contextualSpacing w:val="0"/>
        <w:jc w:val="both"/>
        <w:rPr>
          <w:rFonts w:ascii="Verdana" w:hAnsi="Verdana"/>
          <w:sz w:val="20"/>
          <w:szCs w:val="20"/>
        </w:rPr>
      </w:pPr>
    </w:p>
    <w:p w14:paraId="6F081326" w14:textId="1E6C80F4" w:rsidR="00454C7F" w:rsidRPr="005A4DF1" w:rsidRDefault="00790894" w:rsidP="00454C7F">
      <w:pPr>
        <w:pStyle w:val="ListParagraph"/>
        <w:ind w:left="0"/>
        <w:contextualSpacing w:val="0"/>
        <w:jc w:val="both"/>
        <w:rPr>
          <w:rFonts w:ascii="Verdana" w:hAnsi="Verdana"/>
          <w:sz w:val="20"/>
          <w:szCs w:val="20"/>
        </w:rPr>
      </w:pPr>
      <w:r>
        <w:rPr>
          <w:rFonts w:ascii="Verdana" w:hAnsi="Verdana"/>
          <w:sz w:val="20"/>
          <w:szCs w:val="20"/>
        </w:rPr>
        <w:t>74</w:t>
      </w:r>
      <w:r w:rsidR="00454C7F" w:rsidRPr="005A4DF1">
        <w:rPr>
          <w:rFonts w:ascii="Verdana" w:hAnsi="Verdana"/>
          <w:sz w:val="20"/>
          <w:szCs w:val="20"/>
        </w:rPr>
        <w:t>.</w:t>
      </w:r>
      <w:r w:rsidR="00454C7F" w:rsidRPr="005A4DF1">
        <w:rPr>
          <w:rFonts w:ascii="Verdana" w:hAnsi="Verdana"/>
          <w:sz w:val="20"/>
          <w:szCs w:val="20"/>
        </w:rPr>
        <w:tab/>
        <w:t>A efectos de evitar reiteraciones, remito a la lectura de ese voto razonado. Agrego igualmente a continuación ciertas consideraciones adicionales.</w:t>
      </w:r>
    </w:p>
    <w:p w14:paraId="23D39A48" w14:textId="77777777" w:rsidR="00454C7F" w:rsidRPr="005A4DF1" w:rsidRDefault="00454C7F" w:rsidP="00454C7F">
      <w:pPr>
        <w:pStyle w:val="ListParagraph"/>
        <w:ind w:left="0"/>
        <w:contextualSpacing w:val="0"/>
        <w:jc w:val="both"/>
        <w:rPr>
          <w:rFonts w:ascii="Verdana" w:hAnsi="Verdana"/>
          <w:sz w:val="20"/>
          <w:szCs w:val="20"/>
        </w:rPr>
      </w:pPr>
    </w:p>
    <w:p w14:paraId="07D29134" w14:textId="4DF29434" w:rsidR="00454C7F" w:rsidRPr="005A4DF1" w:rsidRDefault="00790894" w:rsidP="00454C7F">
      <w:pPr>
        <w:pStyle w:val="ListParagraph"/>
        <w:ind w:left="0"/>
        <w:contextualSpacing w:val="0"/>
        <w:jc w:val="both"/>
        <w:rPr>
          <w:rFonts w:ascii="Verdana" w:hAnsi="Verdana"/>
          <w:sz w:val="20"/>
          <w:szCs w:val="20"/>
        </w:rPr>
      </w:pPr>
      <w:r>
        <w:rPr>
          <w:rFonts w:ascii="Verdana" w:hAnsi="Verdana"/>
          <w:sz w:val="20"/>
          <w:szCs w:val="20"/>
        </w:rPr>
        <w:t>75</w:t>
      </w:r>
      <w:r w:rsidR="00454C7F" w:rsidRPr="005A4DF1">
        <w:rPr>
          <w:rFonts w:ascii="Verdana" w:hAnsi="Verdana"/>
          <w:sz w:val="20"/>
          <w:szCs w:val="20"/>
        </w:rPr>
        <w:t>.</w:t>
      </w:r>
      <w:r w:rsidR="00454C7F" w:rsidRPr="005A4DF1">
        <w:rPr>
          <w:rFonts w:ascii="Verdana" w:hAnsi="Verdana"/>
          <w:sz w:val="20"/>
          <w:szCs w:val="20"/>
        </w:rPr>
        <w:tab/>
        <w:t xml:space="preserve">La Convención </w:t>
      </w:r>
      <w:r w:rsidR="00077A81">
        <w:rPr>
          <w:rFonts w:ascii="Verdana" w:hAnsi="Verdana"/>
          <w:sz w:val="20"/>
          <w:szCs w:val="20"/>
        </w:rPr>
        <w:t xml:space="preserve">Americana </w:t>
      </w:r>
      <w:r w:rsidR="00454C7F" w:rsidRPr="005A4DF1">
        <w:rPr>
          <w:rFonts w:ascii="Verdana" w:hAnsi="Verdana"/>
          <w:sz w:val="20"/>
          <w:szCs w:val="20"/>
        </w:rPr>
        <w:t xml:space="preserve">en su artículo 26, establece el compromiso de los Estados Partes de “adoptar providencias […] para lograr progresivamente la plena efectividad de los derechos [receptados en la norma], en la medida de los recursos disponibles, por vía legislativa u otros medios apropiados”. </w:t>
      </w:r>
    </w:p>
    <w:p w14:paraId="34193196" w14:textId="77777777" w:rsidR="00454C7F" w:rsidRPr="005A4DF1" w:rsidRDefault="00454C7F" w:rsidP="00454C7F">
      <w:pPr>
        <w:pStyle w:val="ListParagraph"/>
        <w:ind w:left="0"/>
        <w:contextualSpacing w:val="0"/>
        <w:jc w:val="both"/>
        <w:rPr>
          <w:rFonts w:ascii="Verdana" w:hAnsi="Verdana"/>
          <w:sz w:val="20"/>
          <w:szCs w:val="20"/>
        </w:rPr>
      </w:pPr>
    </w:p>
    <w:p w14:paraId="45901C16" w14:textId="37A6AC06" w:rsidR="00454C7F" w:rsidRPr="005A4DF1" w:rsidRDefault="00790894" w:rsidP="00454C7F">
      <w:pPr>
        <w:pStyle w:val="ListParagraph"/>
        <w:ind w:left="0"/>
        <w:contextualSpacing w:val="0"/>
        <w:jc w:val="both"/>
        <w:rPr>
          <w:rFonts w:ascii="Verdana" w:hAnsi="Verdana"/>
          <w:sz w:val="20"/>
          <w:szCs w:val="20"/>
        </w:rPr>
      </w:pPr>
      <w:r>
        <w:rPr>
          <w:rFonts w:ascii="Verdana" w:hAnsi="Verdana"/>
          <w:sz w:val="20"/>
          <w:szCs w:val="20"/>
        </w:rPr>
        <w:t>76</w:t>
      </w:r>
      <w:r w:rsidR="00454C7F" w:rsidRPr="005A4DF1">
        <w:rPr>
          <w:rFonts w:ascii="Verdana" w:hAnsi="Verdana"/>
          <w:sz w:val="20"/>
          <w:szCs w:val="20"/>
        </w:rPr>
        <w:t>.</w:t>
      </w:r>
      <w:r w:rsidR="00454C7F" w:rsidRPr="005A4DF1">
        <w:rPr>
          <w:rFonts w:ascii="Verdana" w:hAnsi="Verdana"/>
          <w:sz w:val="20"/>
          <w:szCs w:val="20"/>
        </w:rPr>
        <w:tab/>
        <w:t>El texto es similar al del artículo 2.1 del Pacto Internacional de Derechos Económicos, Sociales y Culturales, que expresa “[c]</w:t>
      </w:r>
      <w:proofErr w:type="spellStart"/>
      <w:r w:rsidR="00454C7F" w:rsidRPr="005A4DF1">
        <w:rPr>
          <w:rFonts w:ascii="Verdana" w:hAnsi="Verdana" w:cs="Arial"/>
          <w:color w:val="000000"/>
          <w:sz w:val="20"/>
          <w:szCs w:val="20"/>
        </w:rPr>
        <w:t>ada</w:t>
      </w:r>
      <w:proofErr w:type="spellEnd"/>
      <w:r w:rsidR="00454C7F" w:rsidRPr="005A4DF1">
        <w:rPr>
          <w:rFonts w:ascii="Verdana" w:hAnsi="Verdana" w:cs="Arial"/>
          <w:color w:val="000000"/>
          <w:sz w:val="20"/>
          <w:szCs w:val="20"/>
        </w:rPr>
        <w:t xml:space="preserve"> uno de los Estados Partes en el presente Pacto se compromete a adoptar medidas […] hasta el máximo de los recursos de que disponga, para lograr progresivamente, por todos los medios apropiados, inclusive en particular la adopción de medidas legislativas, la plena efectividad de los derechos […] reconocidos [en ese tratado]”.</w:t>
      </w:r>
      <w:r w:rsidR="00454C7F" w:rsidRPr="005A4DF1">
        <w:rPr>
          <w:rFonts w:ascii="Verdana" w:hAnsi="Verdana"/>
          <w:sz w:val="20"/>
          <w:szCs w:val="20"/>
        </w:rPr>
        <w:t xml:space="preserve"> Dada la similitud referida, considero pertinentes</w:t>
      </w:r>
      <w:r w:rsidR="00077A81">
        <w:rPr>
          <w:rFonts w:ascii="Verdana" w:hAnsi="Verdana"/>
          <w:sz w:val="20"/>
          <w:szCs w:val="20"/>
        </w:rPr>
        <w:t xml:space="preserve"> consideraciones del Comité DESC</w:t>
      </w:r>
      <w:r w:rsidR="00454C7F" w:rsidRPr="005A4DF1">
        <w:rPr>
          <w:rFonts w:ascii="Verdana" w:hAnsi="Verdana"/>
          <w:sz w:val="20"/>
          <w:szCs w:val="20"/>
        </w:rPr>
        <w:t xml:space="preserve"> sobre en régimen obligacional respecto a los derechos económicos, sociales y culturales, inclusive el derecho a la vivienda. </w:t>
      </w:r>
    </w:p>
    <w:p w14:paraId="4492549B" w14:textId="77777777" w:rsidR="00454C7F" w:rsidRPr="005A4DF1" w:rsidRDefault="00454C7F" w:rsidP="00454C7F">
      <w:pPr>
        <w:pStyle w:val="ListParagraph"/>
        <w:ind w:left="0"/>
        <w:contextualSpacing w:val="0"/>
        <w:jc w:val="both"/>
        <w:rPr>
          <w:rFonts w:ascii="Verdana" w:hAnsi="Verdana"/>
          <w:sz w:val="20"/>
          <w:szCs w:val="20"/>
        </w:rPr>
      </w:pPr>
    </w:p>
    <w:p w14:paraId="5A395C11" w14:textId="4BC56BDB" w:rsidR="00454C7F" w:rsidRPr="005A4DF1" w:rsidRDefault="00790894" w:rsidP="00454C7F">
      <w:pPr>
        <w:pStyle w:val="ListParagraph"/>
        <w:ind w:left="0"/>
        <w:contextualSpacing w:val="0"/>
        <w:jc w:val="both"/>
        <w:rPr>
          <w:rFonts w:ascii="Verdana" w:hAnsi="Verdana"/>
          <w:sz w:val="20"/>
          <w:szCs w:val="20"/>
        </w:rPr>
      </w:pPr>
      <w:r>
        <w:rPr>
          <w:rFonts w:ascii="Verdana" w:hAnsi="Verdana"/>
          <w:sz w:val="20"/>
          <w:szCs w:val="20"/>
        </w:rPr>
        <w:t>77</w:t>
      </w:r>
      <w:r w:rsidR="00077A81">
        <w:rPr>
          <w:rFonts w:ascii="Verdana" w:hAnsi="Verdana"/>
          <w:sz w:val="20"/>
          <w:szCs w:val="20"/>
        </w:rPr>
        <w:t>.</w:t>
      </w:r>
      <w:r w:rsidR="00077A81">
        <w:rPr>
          <w:rFonts w:ascii="Verdana" w:hAnsi="Verdana"/>
          <w:sz w:val="20"/>
          <w:szCs w:val="20"/>
        </w:rPr>
        <w:tab/>
        <w:t>El Comité DESC</w:t>
      </w:r>
      <w:r w:rsidR="008D7E1E">
        <w:rPr>
          <w:rFonts w:ascii="Verdana" w:hAnsi="Verdana"/>
          <w:sz w:val="20"/>
          <w:szCs w:val="20"/>
        </w:rPr>
        <w:t xml:space="preserve">, en su </w:t>
      </w:r>
      <w:r w:rsidR="00454C7F" w:rsidRPr="005A4DF1">
        <w:rPr>
          <w:rFonts w:ascii="Verdana" w:hAnsi="Verdana"/>
          <w:sz w:val="20"/>
          <w:szCs w:val="20"/>
        </w:rPr>
        <w:t xml:space="preserve">Observación General </w:t>
      </w:r>
      <w:r w:rsidR="00077A81">
        <w:rPr>
          <w:rFonts w:ascii="Verdana" w:hAnsi="Verdana"/>
          <w:sz w:val="20"/>
          <w:szCs w:val="20"/>
        </w:rPr>
        <w:t xml:space="preserve"> No. 3 </w:t>
      </w:r>
      <w:r w:rsidR="00454C7F" w:rsidRPr="005A4DF1">
        <w:rPr>
          <w:rFonts w:ascii="Verdana" w:hAnsi="Verdana"/>
          <w:sz w:val="20"/>
          <w:szCs w:val="20"/>
        </w:rPr>
        <w:t xml:space="preserve">ha señalado lo que sigue: </w:t>
      </w:r>
    </w:p>
    <w:p w14:paraId="0D14F140" w14:textId="7C81A815" w:rsidR="00454C7F" w:rsidRPr="0070163D" w:rsidRDefault="00454C7F" w:rsidP="00B16B13">
      <w:pPr>
        <w:pStyle w:val="NormalWeb"/>
        <w:spacing w:after="0"/>
        <w:ind w:left="709" w:right="616"/>
        <w:jc w:val="both"/>
        <w:rPr>
          <w:rFonts w:ascii="Verdana" w:hAnsi="Verdana" w:cs="Arial"/>
          <w:sz w:val="16"/>
          <w:szCs w:val="16"/>
          <w:lang w:val="es-ES"/>
        </w:rPr>
      </w:pPr>
      <w:r w:rsidRPr="0070163D">
        <w:rPr>
          <w:rFonts w:ascii="Verdana" w:hAnsi="Verdana" w:cs="Arial"/>
          <w:sz w:val="16"/>
          <w:szCs w:val="16"/>
          <w:lang w:val="es-ES"/>
        </w:rPr>
        <w:t xml:space="preserve">[A]aunque el </w:t>
      </w:r>
      <w:proofErr w:type="gramStart"/>
      <w:r w:rsidRPr="0070163D">
        <w:rPr>
          <w:rFonts w:ascii="Verdana" w:hAnsi="Verdana" w:cs="Arial"/>
          <w:sz w:val="16"/>
          <w:szCs w:val="16"/>
          <w:lang w:val="es-ES"/>
        </w:rPr>
        <w:t>P[</w:t>
      </w:r>
      <w:proofErr w:type="gramEnd"/>
      <w:r w:rsidRPr="0070163D">
        <w:rPr>
          <w:rFonts w:ascii="Verdana" w:hAnsi="Verdana" w:cs="Arial"/>
          <w:sz w:val="16"/>
          <w:szCs w:val="16"/>
          <w:lang w:val="es-ES"/>
        </w:rPr>
        <w:t xml:space="preserve">IDESC] contempla una realización paulatina y tiene en cuenta las restricciones derivadas de la limitación de los recursos con que se cuenta, también impone varias obligaciones con efecto inmediato. […]Una de ellas […] consiste en que los Estados se ‘comprometen a garantizar’ que los derechos pertinentes se ejercerán ‘sin discriminación’. […Asimismo] el compromiso […] de ‘adoptar medidas’, […] en sí mismo no queda condicionado ni limitado por ninguna otra consideración.[…] Así pues, si bien la plena realización de los derechos pertinentes puede lograrse de manera paulatina, las medidas tendentes a lograr este objetivo deben adoptarse dentro de un plazo razonablemente breve tras la entrada en vigor del P[IDESC…].  Tales medidas deben ser deliberadas, concretas y orientadas lo más claramente posible hacia la satisfacción de las obligaciones reconocidas en el </w:t>
      </w:r>
      <w:proofErr w:type="gramStart"/>
      <w:r w:rsidRPr="0070163D">
        <w:rPr>
          <w:rFonts w:ascii="Verdana" w:hAnsi="Verdana" w:cs="Arial"/>
          <w:sz w:val="16"/>
          <w:szCs w:val="16"/>
          <w:lang w:val="es-ES"/>
        </w:rPr>
        <w:t>P[</w:t>
      </w:r>
      <w:proofErr w:type="gramEnd"/>
      <w:r w:rsidRPr="0070163D">
        <w:rPr>
          <w:rFonts w:ascii="Verdana" w:hAnsi="Verdana" w:cs="Arial"/>
          <w:sz w:val="16"/>
          <w:szCs w:val="16"/>
          <w:lang w:val="es-ES"/>
        </w:rPr>
        <w:t>IDESC]. […] El concepto de progresiva efectividad constituye un reconocimiento del hecho de que la plena efectividad de todos los derechos económicos, sociales y culturales en general no podrá lograrse en un breve período de tiempo. En este sentido, la obligación difiere de manera importante de la que figura en el artículo 2 del Pacto Internacional de Derechos Civiles y Políticos e incorpora una obligación inmediata de respetar y garantizar todos los derechos pertinentes. Sin embargo, el hecho de que la efectividad a lo largo del tiempo, o en otras palabras progresivamente, se prevea en relación con el Pacto no se ha de interpretar equivocadamente como que priva a la obligación de todo contenido significativo. […L</w:t>
      </w:r>
      <w:proofErr w:type="gramStart"/>
      <w:r w:rsidRPr="0070163D">
        <w:rPr>
          <w:rFonts w:ascii="Verdana" w:hAnsi="Verdana" w:cs="Arial"/>
          <w:sz w:val="16"/>
          <w:szCs w:val="16"/>
          <w:lang w:val="es-ES"/>
        </w:rPr>
        <w:t>]a</w:t>
      </w:r>
      <w:proofErr w:type="gramEnd"/>
      <w:r w:rsidRPr="0070163D">
        <w:rPr>
          <w:rFonts w:ascii="Verdana" w:hAnsi="Verdana" w:cs="Arial"/>
          <w:sz w:val="16"/>
          <w:szCs w:val="16"/>
          <w:lang w:val="es-ES"/>
        </w:rPr>
        <w:t xml:space="preserve"> frase debe interpretarse a la luz de […] la razón de ser, del P[IDESC], que es establecer claras obligaciones […] con respecto a la plena efectividad de los derechos de que se trata. Este impone así una obligación de proceder lo más expedita y eficazmente posible con miras a lograr ese objetivo. Además, todas las medidas de carácter deliberadamente retroactivo en este aspecto requerirán la consideración más cuidadosa y deberán justificarse </w:t>
      </w:r>
      <w:r w:rsidRPr="0070163D">
        <w:rPr>
          <w:rFonts w:ascii="Verdana" w:hAnsi="Verdana" w:cs="Arial"/>
          <w:sz w:val="16"/>
          <w:szCs w:val="16"/>
          <w:lang w:val="es-ES"/>
        </w:rPr>
        <w:lastRenderedPageBreak/>
        <w:t>plenamente por referencia a la totalidad de los derechos previstos en el Pacto y en el contexto del aprovechamiento pleno del máximo de los recursos de que se disponga. […C</w:t>
      </w:r>
      <w:proofErr w:type="gramStart"/>
      <w:r w:rsidRPr="0070163D">
        <w:rPr>
          <w:rFonts w:ascii="Verdana" w:hAnsi="Verdana" w:cs="Arial"/>
          <w:sz w:val="16"/>
          <w:szCs w:val="16"/>
          <w:lang w:val="es-ES"/>
        </w:rPr>
        <w:t>]</w:t>
      </w:r>
      <w:proofErr w:type="spellStart"/>
      <w:r w:rsidRPr="0070163D">
        <w:rPr>
          <w:rFonts w:ascii="Verdana" w:hAnsi="Verdana" w:cs="Arial"/>
          <w:sz w:val="16"/>
          <w:szCs w:val="16"/>
          <w:lang w:val="es-ES"/>
        </w:rPr>
        <w:t>orresponde</w:t>
      </w:r>
      <w:proofErr w:type="spellEnd"/>
      <w:proofErr w:type="gramEnd"/>
      <w:r w:rsidRPr="0070163D">
        <w:rPr>
          <w:rFonts w:ascii="Verdana" w:hAnsi="Verdana" w:cs="Arial"/>
          <w:sz w:val="16"/>
          <w:szCs w:val="16"/>
          <w:lang w:val="es-ES"/>
        </w:rPr>
        <w:t xml:space="preserve"> a cada Estado Parte una obligación mínima de asegurar la satisfacción de por lo menos niveles esenciales de cada uno de los derechos. Así, por ejemplo, un Estado Parte en el que un número importante de individuos está privado de alimentos esenciales, de atención primaria de salud esencial, de abrigo y vivienda básicos o de las formas más básicas de enseñanza, prima facie no está cumpliendo sus obligaciones en virtud del </w:t>
      </w:r>
      <w:r w:rsidR="00872450">
        <w:rPr>
          <w:rFonts w:ascii="Verdana" w:hAnsi="Verdana" w:cs="Arial"/>
          <w:sz w:val="16"/>
          <w:szCs w:val="16"/>
          <w:lang w:val="es-ES"/>
        </w:rPr>
        <w:t>Pacto. […A</w:t>
      </w:r>
      <w:proofErr w:type="gramStart"/>
      <w:r w:rsidR="00872450">
        <w:rPr>
          <w:rFonts w:ascii="Verdana" w:hAnsi="Verdana" w:cs="Arial"/>
          <w:sz w:val="16"/>
          <w:szCs w:val="16"/>
          <w:lang w:val="es-ES"/>
        </w:rPr>
        <w:t>]</w:t>
      </w:r>
      <w:proofErr w:type="spellStart"/>
      <w:r w:rsidRPr="0070163D">
        <w:rPr>
          <w:rFonts w:ascii="Verdana" w:hAnsi="Verdana" w:cs="Arial"/>
          <w:sz w:val="16"/>
          <w:szCs w:val="16"/>
          <w:lang w:val="es-ES"/>
        </w:rPr>
        <w:t>unque</w:t>
      </w:r>
      <w:proofErr w:type="spellEnd"/>
      <w:proofErr w:type="gramEnd"/>
      <w:r w:rsidRPr="0070163D">
        <w:rPr>
          <w:rFonts w:ascii="Verdana" w:hAnsi="Verdana" w:cs="Arial"/>
          <w:sz w:val="16"/>
          <w:szCs w:val="16"/>
          <w:lang w:val="es-ES"/>
        </w:rPr>
        <w:t xml:space="preserve"> se demuestre que los recursos disponibles son insuficientes, sigue en pie la obligación de que el Estado Parte se empeñe en asegurar el disfrute más amplio posible de los derechos pertinentes dadas las circunstancias reinantes. Más aún, de ninguna manera se eliminan, como resultado de las limitaciones de recursos, las obligaciones de vigilar la medida de la realización, o más especialmente de la no realización, de los derechos económicos, sociales y culturales y de elaborar estrategias y programas para su promoción. […A</w:t>
      </w:r>
      <w:proofErr w:type="gramStart"/>
      <w:r w:rsidRPr="0070163D">
        <w:rPr>
          <w:rFonts w:ascii="Verdana" w:hAnsi="Verdana" w:cs="Arial"/>
          <w:sz w:val="16"/>
          <w:szCs w:val="16"/>
          <w:lang w:val="es-ES"/>
        </w:rPr>
        <w:t>]un</w:t>
      </w:r>
      <w:proofErr w:type="gramEnd"/>
      <w:r w:rsidRPr="0070163D">
        <w:rPr>
          <w:rFonts w:ascii="Verdana" w:hAnsi="Verdana" w:cs="Arial"/>
          <w:sz w:val="16"/>
          <w:szCs w:val="16"/>
          <w:lang w:val="es-ES"/>
        </w:rPr>
        <w:t xml:space="preserve"> en tiempos de limitaciones graves de recursos, […] se puede y se debe […] proteger a los miembros vulnerables de la sociedad […]</w:t>
      </w:r>
      <w:r w:rsidRPr="0070163D">
        <w:rPr>
          <w:rStyle w:val="FootnoteReference"/>
          <w:rFonts w:ascii="Verdana" w:hAnsi="Verdana"/>
          <w:sz w:val="16"/>
          <w:szCs w:val="16"/>
          <w:lang w:val="es-ES"/>
        </w:rPr>
        <w:footnoteReference w:id="94"/>
      </w:r>
      <w:r w:rsidRPr="0070163D">
        <w:rPr>
          <w:rFonts w:ascii="Verdana" w:hAnsi="Verdana" w:cs="Arial"/>
          <w:sz w:val="16"/>
          <w:szCs w:val="16"/>
          <w:lang w:val="es-ES"/>
        </w:rPr>
        <w:t>.</w:t>
      </w:r>
    </w:p>
    <w:p w14:paraId="7777CEBB" w14:textId="03BBC784" w:rsidR="00454C7F" w:rsidRPr="005A4DF1" w:rsidRDefault="00790894" w:rsidP="00454C7F">
      <w:pPr>
        <w:pStyle w:val="ListParagraph"/>
        <w:ind w:left="0"/>
        <w:contextualSpacing w:val="0"/>
        <w:jc w:val="both"/>
        <w:rPr>
          <w:rFonts w:ascii="Verdana" w:hAnsi="Verdana"/>
          <w:sz w:val="20"/>
          <w:szCs w:val="20"/>
        </w:rPr>
      </w:pPr>
      <w:r>
        <w:rPr>
          <w:rFonts w:ascii="Verdana" w:hAnsi="Verdana"/>
          <w:sz w:val="20"/>
          <w:szCs w:val="20"/>
        </w:rPr>
        <w:t>78</w:t>
      </w:r>
      <w:r w:rsidR="00077A81">
        <w:rPr>
          <w:rFonts w:ascii="Verdana" w:hAnsi="Verdana"/>
          <w:sz w:val="20"/>
          <w:szCs w:val="20"/>
        </w:rPr>
        <w:t>.</w:t>
      </w:r>
      <w:r w:rsidR="00077A81">
        <w:rPr>
          <w:rFonts w:ascii="Verdana" w:hAnsi="Verdana"/>
          <w:sz w:val="20"/>
          <w:szCs w:val="20"/>
        </w:rPr>
        <w:tab/>
        <w:t>Más adelante, el Comité DESC</w:t>
      </w:r>
      <w:r w:rsidR="00454C7F" w:rsidRPr="005A4DF1">
        <w:rPr>
          <w:rFonts w:ascii="Verdana" w:hAnsi="Verdana"/>
          <w:sz w:val="20"/>
          <w:szCs w:val="20"/>
        </w:rPr>
        <w:t xml:space="preserve"> señaló en su Observación General No. 12, referida al derecho a la alimentación, obligaciones que entendió que rigen respecto a “cualquier derecho humano”</w:t>
      </w:r>
      <w:r w:rsidR="00454C7F" w:rsidRPr="005A4DF1">
        <w:rPr>
          <w:rStyle w:val="FootnoteReference"/>
          <w:rFonts w:ascii="Verdana" w:hAnsi="Verdana"/>
          <w:sz w:val="20"/>
          <w:szCs w:val="20"/>
        </w:rPr>
        <w:footnoteReference w:id="95"/>
      </w:r>
      <w:r w:rsidR="00454C7F" w:rsidRPr="005A4DF1">
        <w:rPr>
          <w:rFonts w:ascii="Verdana" w:hAnsi="Verdana"/>
          <w:sz w:val="20"/>
          <w:szCs w:val="20"/>
        </w:rPr>
        <w:t>. Con posterioridad lo reiteró en modo má</w:t>
      </w:r>
      <w:r w:rsidR="00872450">
        <w:rPr>
          <w:rFonts w:ascii="Verdana" w:hAnsi="Verdana"/>
          <w:sz w:val="20"/>
          <w:szCs w:val="20"/>
        </w:rPr>
        <w:t>s preciso. Así, en la Observació</w:t>
      </w:r>
      <w:r w:rsidR="00454C7F" w:rsidRPr="005A4DF1">
        <w:rPr>
          <w:rFonts w:ascii="Verdana" w:hAnsi="Verdana"/>
          <w:sz w:val="20"/>
          <w:szCs w:val="20"/>
        </w:rPr>
        <w:t xml:space="preserve">n General </w:t>
      </w:r>
      <w:r w:rsidR="00077A81">
        <w:rPr>
          <w:rFonts w:ascii="Verdana" w:hAnsi="Verdana"/>
          <w:sz w:val="20"/>
          <w:szCs w:val="20"/>
        </w:rPr>
        <w:t xml:space="preserve">No. </w:t>
      </w:r>
      <w:r w:rsidR="00454C7F" w:rsidRPr="005A4DF1">
        <w:rPr>
          <w:rFonts w:ascii="Verdana" w:hAnsi="Verdana"/>
          <w:sz w:val="20"/>
          <w:szCs w:val="20"/>
        </w:rPr>
        <w:t xml:space="preserve">14, referida al derecho al disfrute del más alto nivel </w:t>
      </w:r>
      <w:r w:rsidR="00077A81">
        <w:rPr>
          <w:rFonts w:ascii="Verdana" w:hAnsi="Verdana"/>
          <w:sz w:val="20"/>
          <w:szCs w:val="20"/>
        </w:rPr>
        <w:t>posible de salud, el Comité DESC</w:t>
      </w:r>
      <w:r w:rsidR="00454C7F" w:rsidRPr="005A4DF1">
        <w:rPr>
          <w:rFonts w:ascii="Verdana" w:hAnsi="Verdana"/>
          <w:sz w:val="20"/>
          <w:szCs w:val="20"/>
        </w:rPr>
        <w:t xml:space="preserve"> expuso: </w:t>
      </w:r>
    </w:p>
    <w:p w14:paraId="4A42DBC3" w14:textId="77777777" w:rsidR="00454C7F" w:rsidRPr="005A4DF1" w:rsidRDefault="00454C7F" w:rsidP="00454C7F">
      <w:pPr>
        <w:pStyle w:val="ListParagraph"/>
        <w:ind w:left="0"/>
        <w:contextualSpacing w:val="0"/>
        <w:jc w:val="both"/>
        <w:rPr>
          <w:rFonts w:ascii="Verdana" w:hAnsi="Verdana"/>
          <w:sz w:val="20"/>
          <w:szCs w:val="20"/>
        </w:rPr>
      </w:pPr>
    </w:p>
    <w:p w14:paraId="01F59D30" w14:textId="77777777" w:rsidR="00454C7F" w:rsidRPr="0070163D" w:rsidRDefault="00454C7F" w:rsidP="00B16B13">
      <w:pPr>
        <w:pStyle w:val="ListParagraph"/>
        <w:ind w:left="709" w:right="616"/>
        <w:contextualSpacing w:val="0"/>
        <w:jc w:val="both"/>
        <w:rPr>
          <w:rFonts w:ascii="Verdana" w:hAnsi="Verdana"/>
          <w:sz w:val="16"/>
          <w:szCs w:val="16"/>
        </w:rPr>
      </w:pPr>
      <w:r w:rsidRPr="0070163D">
        <w:rPr>
          <w:rFonts w:ascii="Verdana" w:hAnsi="Verdana"/>
          <w:sz w:val="16"/>
          <w:szCs w:val="16"/>
        </w:rPr>
        <w:t xml:space="preserve">Al igual que todos los derechos humanos, el derecho a la salud impone tres tipos o niveles de obligaciones a los Estados Partes: la obligación de </w:t>
      </w:r>
      <w:r w:rsidRPr="0070163D">
        <w:rPr>
          <w:rFonts w:ascii="Verdana" w:hAnsi="Verdana"/>
          <w:i/>
          <w:iCs/>
          <w:sz w:val="16"/>
          <w:szCs w:val="16"/>
        </w:rPr>
        <w:t>respetar, proteger</w:t>
      </w:r>
      <w:r w:rsidRPr="0070163D">
        <w:rPr>
          <w:rFonts w:ascii="Verdana" w:hAnsi="Verdana"/>
          <w:sz w:val="16"/>
          <w:szCs w:val="16"/>
        </w:rPr>
        <w:t xml:space="preserve"> y </w:t>
      </w:r>
      <w:r w:rsidRPr="0070163D">
        <w:rPr>
          <w:rFonts w:ascii="Verdana" w:hAnsi="Verdana"/>
          <w:i/>
          <w:iCs/>
          <w:sz w:val="16"/>
          <w:szCs w:val="16"/>
        </w:rPr>
        <w:t>cumplir</w:t>
      </w:r>
      <w:r w:rsidRPr="0070163D">
        <w:rPr>
          <w:rFonts w:ascii="Verdana" w:hAnsi="Verdana"/>
          <w:sz w:val="16"/>
          <w:szCs w:val="16"/>
        </w:rPr>
        <w:t xml:space="preserve">. A su vez, la obligación de cumplir comprende la obligación de facilitar, proporcionar y promover. La obligación de </w:t>
      </w:r>
      <w:r w:rsidRPr="0070163D">
        <w:rPr>
          <w:rFonts w:ascii="Verdana" w:hAnsi="Verdana"/>
          <w:i/>
          <w:iCs/>
          <w:sz w:val="16"/>
          <w:szCs w:val="16"/>
        </w:rPr>
        <w:t>respetar</w:t>
      </w:r>
      <w:r w:rsidRPr="0070163D">
        <w:rPr>
          <w:rFonts w:ascii="Verdana" w:hAnsi="Verdana"/>
          <w:sz w:val="16"/>
          <w:szCs w:val="16"/>
        </w:rPr>
        <w:t xml:space="preserve"> exige que los Estados se abstengan de injerirse directa o indirectamente en el disfrute del derecho […]. La obligación de </w:t>
      </w:r>
      <w:r w:rsidRPr="0070163D">
        <w:rPr>
          <w:rFonts w:ascii="Verdana" w:hAnsi="Verdana"/>
          <w:i/>
          <w:iCs/>
          <w:sz w:val="16"/>
          <w:szCs w:val="16"/>
        </w:rPr>
        <w:t>proteger</w:t>
      </w:r>
      <w:r w:rsidRPr="0070163D">
        <w:rPr>
          <w:rFonts w:ascii="Verdana" w:hAnsi="Verdana"/>
          <w:sz w:val="16"/>
          <w:szCs w:val="16"/>
        </w:rPr>
        <w:t xml:space="preserve"> requiere que los Estados adopten medidas para impedir que terceros interfieran en [dicho disfrute]. Por último, la obligación de </w:t>
      </w:r>
      <w:r w:rsidRPr="0070163D">
        <w:rPr>
          <w:rFonts w:ascii="Verdana" w:hAnsi="Verdana"/>
          <w:i/>
          <w:iCs/>
          <w:sz w:val="16"/>
          <w:szCs w:val="16"/>
        </w:rPr>
        <w:t>cumplir</w:t>
      </w:r>
      <w:r w:rsidRPr="0070163D">
        <w:rPr>
          <w:rFonts w:ascii="Verdana" w:hAnsi="Verdana"/>
          <w:sz w:val="16"/>
          <w:szCs w:val="16"/>
        </w:rPr>
        <w:t xml:space="preserve"> requiere que los Estados adopten medidas apropiadas de carácter legislativo, administrativo, presupuestario, judicial o de otra índole para dar plena efectividad al derecho […].La obligación de </w:t>
      </w:r>
      <w:r w:rsidRPr="0070163D">
        <w:rPr>
          <w:rFonts w:ascii="Verdana" w:hAnsi="Verdana"/>
          <w:i/>
          <w:iCs/>
          <w:sz w:val="16"/>
          <w:szCs w:val="16"/>
        </w:rPr>
        <w:t>cumplir</w:t>
      </w:r>
      <w:r w:rsidRPr="0070163D">
        <w:rPr>
          <w:rFonts w:ascii="Verdana" w:hAnsi="Verdana"/>
          <w:sz w:val="16"/>
          <w:szCs w:val="16"/>
        </w:rPr>
        <w:t xml:space="preserve"> (</w:t>
      </w:r>
      <w:r w:rsidRPr="0070163D">
        <w:rPr>
          <w:rFonts w:ascii="Verdana" w:hAnsi="Verdana"/>
          <w:i/>
          <w:iCs/>
          <w:sz w:val="16"/>
          <w:szCs w:val="16"/>
        </w:rPr>
        <w:t>facilitar</w:t>
      </w:r>
      <w:r w:rsidRPr="0070163D">
        <w:rPr>
          <w:rFonts w:ascii="Verdana" w:hAnsi="Verdana"/>
          <w:sz w:val="16"/>
          <w:szCs w:val="16"/>
        </w:rPr>
        <w:t xml:space="preserve">) requiere en particular que los Estados adopten medidas positivas que permitan y ayuden a los particulares y las comunidades disfrutar del derecho […]. Los Estados Partes también tienen la obligación de </w:t>
      </w:r>
      <w:r w:rsidRPr="0070163D">
        <w:rPr>
          <w:rFonts w:ascii="Verdana" w:hAnsi="Verdana"/>
          <w:i/>
          <w:iCs/>
          <w:sz w:val="16"/>
          <w:szCs w:val="16"/>
        </w:rPr>
        <w:t>cumplir</w:t>
      </w:r>
      <w:r w:rsidRPr="0070163D">
        <w:rPr>
          <w:rFonts w:ascii="Verdana" w:hAnsi="Verdana"/>
          <w:sz w:val="16"/>
          <w:szCs w:val="16"/>
        </w:rPr>
        <w:t xml:space="preserve"> (</w:t>
      </w:r>
      <w:r w:rsidRPr="0070163D">
        <w:rPr>
          <w:rFonts w:ascii="Verdana" w:hAnsi="Verdana"/>
          <w:i/>
          <w:iCs/>
          <w:sz w:val="16"/>
          <w:szCs w:val="16"/>
        </w:rPr>
        <w:t>facilitar</w:t>
      </w:r>
      <w:r w:rsidRPr="0070163D">
        <w:rPr>
          <w:rFonts w:ascii="Verdana" w:hAnsi="Verdana"/>
          <w:sz w:val="16"/>
          <w:szCs w:val="16"/>
        </w:rPr>
        <w:t xml:space="preserve">) un derecho específico enunciado en el Pacto en los casos en que los particulares o los grupos no están en condiciones, por razones ajenas a su voluntad, de ejercer por sí mismos ese derecho con ayuda de los medios a su disposición. La obligación de </w:t>
      </w:r>
      <w:r w:rsidRPr="0070163D">
        <w:rPr>
          <w:rFonts w:ascii="Verdana" w:hAnsi="Verdana"/>
          <w:i/>
          <w:iCs/>
          <w:sz w:val="16"/>
          <w:szCs w:val="16"/>
        </w:rPr>
        <w:t>cumplir (promover)</w:t>
      </w:r>
      <w:r w:rsidRPr="0070163D">
        <w:rPr>
          <w:rFonts w:ascii="Verdana" w:hAnsi="Verdana"/>
          <w:sz w:val="16"/>
          <w:szCs w:val="16"/>
        </w:rPr>
        <w:t xml:space="preserve"> el derecho […] requiere que los Estados emprendan actividades para promover, mantener y restablecer [el disfrute del derecho en] la población</w:t>
      </w:r>
      <w:r w:rsidRPr="0070163D">
        <w:rPr>
          <w:rStyle w:val="FootnoteReference"/>
          <w:rFonts w:ascii="Verdana" w:hAnsi="Verdana"/>
          <w:sz w:val="16"/>
          <w:szCs w:val="16"/>
        </w:rPr>
        <w:footnoteReference w:id="96"/>
      </w:r>
      <w:r w:rsidRPr="0070163D">
        <w:rPr>
          <w:rFonts w:ascii="Verdana" w:hAnsi="Verdana"/>
          <w:sz w:val="16"/>
          <w:szCs w:val="16"/>
        </w:rPr>
        <w:t xml:space="preserve">. </w:t>
      </w:r>
    </w:p>
    <w:p w14:paraId="469BE9A4" w14:textId="77777777" w:rsidR="00454C7F" w:rsidRPr="005A4DF1" w:rsidRDefault="00454C7F" w:rsidP="00454C7F">
      <w:pPr>
        <w:pStyle w:val="ListParagraph"/>
        <w:ind w:left="0"/>
        <w:contextualSpacing w:val="0"/>
        <w:jc w:val="both"/>
        <w:rPr>
          <w:rFonts w:ascii="Verdana" w:hAnsi="Verdana"/>
          <w:sz w:val="20"/>
          <w:szCs w:val="20"/>
        </w:rPr>
      </w:pPr>
    </w:p>
    <w:p w14:paraId="665F230D" w14:textId="5723450F" w:rsidR="00454C7F" w:rsidRPr="005A4DF1" w:rsidRDefault="00790894" w:rsidP="00454C7F">
      <w:pPr>
        <w:pStyle w:val="ListParagraph"/>
        <w:ind w:left="0"/>
        <w:contextualSpacing w:val="0"/>
        <w:jc w:val="both"/>
        <w:rPr>
          <w:rFonts w:ascii="Verdana" w:hAnsi="Verdana"/>
          <w:sz w:val="20"/>
          <w:szCs w:val="20"/>
        </w:rPr>
      </w:pPr>
      <w:r>
        <w:rPr>
          <w:rFonts w:ascii="Verdana" w:hAnsi="Verdana"/>
          <w:sz w:val="20"/>
          <w:szCs w:val="20"/>
        </w:rPr>
        <w:t>79</w:t>
      </w:r>
      <w:r w:rsidR="00077A81">
        <w:rPr>
          <w:rFonts w:ascii="Verdana" w:hAnsi="Verdana"/>
          <w:sz w:val="20"/>
          <w:szCs w:val="20"/>
        </w:rPr>
        <w:t>.</w:t>
      </w:r>
      <w:r w:rsidR="00077A81">
        <w:rPr>
          <w:rFonts w:ascii="Verdana" w:hAnsi="Verdana"/>
          <w:sz w:val="20"/>
          <w:szCs w:val="20"/>
        </w:rPr>
        <w:tab/>
        <w:t>En esa ocasión, el Comité DESC</w:t>
      </w:r>
      <w:r w:rsidR="00454C7F" w:rsidRPr="005A4DF1">
        <w:rPr>
          <w:rFonts w:ascii="Verdana" w:hAnsi="Verdana"/>
          <w:sz w:val="20"/>
          <w:szCs w:val="20"/>
        </w:rPr>
        <w:t xml:space="preserve"> reiteró lo que ha</w:t>
      </w:r>
      <w:r w:rsidR="00790075">
        <w:rPr>
          <w:rFonts w:ascii="Verdana" w:hAnsi="Verdana"/>
          <w:sz w:val="20"/>
          <w:szCs w:val="20"/>
        </w:rPr>
        <w:t>bía expresado</w:t>
      </w:r>
      <w:r w:rsidR="009C53FF">
        <w:rPr>
          <w:rFonts w:ascii="Verdana" w:hAnsi="Verdana"/>
          <w:sz w:val="20"/>
          <w:szCs w:val="20"/>
        </w:rPr>
        <w:t xml:space="preserve"> </w:t>
      </w:r>
      <w:r w:rsidR="00790075">
        <w:rPr>
          <w:rFonts w:ascii="Verdana" w:hAnsi="Verdana"/>
          <w:sz w:val="20"/>
          <w:szCs w:val="20"/>
        </w:rPr>
        <w:t>en la Observación G</w:t>
      </w:r>
      <w:r w:rsidR="008D7E1E">
        <w:rPr>
          <w:rFonts w:ascii="Verdana" w:hAnsi="Verdana"/>
          <w:sz w:val="20"/>
          <w:szCs w:val="20"/>
        </w:rPr>
        <w:t>eneral No.</w:t>
      </w:r>
      <w:r w:rsidR="00454C7F" w:rsidRPr="005A4DF1">
        <w:rPr>
          <w:rFonts w:ascii="Verdana" w:hAnsi="Verdana"/>
          <w:sz w:val="20"/>
          <w:szCs w:val="20"/>
        </w:rPr>
        <w:t xml:space="preserve"> 3. “que los Estados Partes tienen la obligación fundamental de asegurar como mínimo la satisfacción de niveles esenciales de cada uno de los derechos enunciados en el Pacto”, y entendió que “en cuanto a las obligaciones básicas </w:t>
      </w:r>
      <w:r w:rsidR="00454C7F" w:rsidRPr="005A4DF1">
        <w:rPr>
          <w:rFonts w:ascii="Verdana" w:hAnsi="Verdana"/>
          <w:sz w:val="20"/>
          <w:szCs w:val="20"/>
        </w:rPr>
        <w:lastRenderedPageBreak/>
        <w:t xml:space="preserve">dimanantes del artículo 12 [del PIDESC, referido al </w:t>
      </w:r>
      <w:r w:rsidR="00454C7F" w:rsidRPr="005A4DF1">
        <w:rPr>
          <w:rFonts w:ascii="Verdana" w:hAnsi="Verdana" w:cs="Arial"/>
          <w:color w:val="000000"/>
          <w:sz w:val="20"/>
          <w:szCs w:val="20"/>
        </w:rPr>
        <w:t>derecho de toda persona al disfrute del más alto nivel posible de salud física y mental]</w:t>
      </w:r>
      <w:r w:rsidR="00454C7F" w:rsidRPr="005A4DF1">
        <w:rPr>
          <w:rFonts w:ascii="Verdana" w:hAnsi="Verdana"/>
          <w:sz w:val="20"/>
          <w:szCs w:val="20"/>
        </w:rPr>
        <w:t xml:space="preserve"> figuran, como mínimo, [</w:t>
      </w:r>
      <w:r w:rsidR="00454C7F" w:rsidRPr="005A4DF1">
        <w:rPr>
          <w:rFonts w:ascii="Verdana" w:hAnsi="Verdana"/>
          <w:i/>
          <w:sz w:val="20"/>
          <w:szCs w:val="20"/>
        </w:rPr>
        <w:t xml:space="preserve">inter </w:t>
      </w:r>
      <w:proofErr w:type="spellStart"/>
      <w:r w:rsidR="00454C7F" w:rsidRPr="005A4DF1">
        <w:rPr>
          <w:rFonts w:ascii="Verdana" w:hAnsi="Verdana"/>
          <w:i/>
          <w:sz w:val="20"/>
          <w:szCs w:val="20"/>
        </w:rPr>
        <w:t>alia</w:t>
      </w:r>
      <w:proofErr w:type="spellEnd"/>
      <w:r w:rsidR="00454C7F" w:rsidRPr="005A4DF1">
        <w:rPr>
          <w:rFonts w:ascii="Verdana" w:hAnsi="Verdana"/>
          <w:sz w:val="20"/>
          <w:szCs w:val="20"/>
        </w:rPr>
        <w:t>, g]</w:t>
      </w:r>
      <w:proofErr w:type="spellStart"/>
      <w:r w:rsidR="00454C7F" w:rsidRPr="005A4DF1">
        <w:rPr>
          <w:rFonts w:ascii="Verdana" w:hAnsi="Verdana"/>
          <w:sz w:val="20"/>
          <w:szCs w:val="20"/>
        </w:rPr>
        <w:t>arantizar</w:t>
      </w:r>
      <w:proofErr w:type="spellEnd"/>
      <w:r w:rsidR="00454C7F" w:rsidRPr="005A4DF1">
        <w:rPr>
          <w:rFonts w:ascii="Verdana" w:hAnsi="Verdana"/>
          <w:sz w:val="20"/>
          <w:szCs w:val="20"/>
        </w:rPr>
        <w:t xml:space="preserve"> el acceso a un hogar, una vivienda y unas condiciones sanitarias básicos, así como a un suministro adecuado de agua limpia potable”</w:t>
      </w:r>
      <w:r w:rsidR="00454C7F" w:rsidRPr="005A4DF1">
        <w:rPr>
          <w:rStyle w:val="FootnoteReference"/>
          <w:rFonts w:ascii="Verdana" w:hAnsi="Verdana"/>
          <w:sz w:val="20"/>
          <w:szCs w:val="20"/>
        </w:rPr>
        <w:footnoteReference w:id="97"/>
      </w:r>
      <w:r w:rsidR="00454C7F" w:rsidRPr="005A4DF1">
        <w:rPr>
          <w:rFonts w:ascii="Verdana" w:hAnsi="Verdana"/>
          <w:sz w:val="20"/>
          <w:szCs w:val="20"/>
        </w:rPr>
        <w:t xml:space="preserve">. </w:t>
      </w:r>
    </w:p>
    <w:p w14:paraId="6AD09ED5" w14:textId="77777777" w:rsidR="00454C7F" w:rsidRPr="005A4DF1" w:rsidRDefault="00454C7F" w:rsidP="00454C7F">
      <w:pPr>
        <w:pStyle w:val="ListParagraph"/>
        <w:ind w:left="0"/>
        <w:contextualSpacing w:val="0"/>
        <w:jc w:val="both"/>
        <w:rPr>
          <w:rFonts w:ascii="Verdana" w:hAnsi="Verdana"/>
          <w:sz w:val="20"/>
          <w:szCs w:val="20"/>
        </w:rPr>
      </w:pPr>
    </w:p>
    <w:p w14:paraId="606A4DE8" w14:textId="2AF82C31" w:rsidR="00454C7F" w:rsidRPr="005A4DF1" w:rsidRDefault="00790894" w:rsidP="00454C7F">
      <w:pPr>
        <w:pStyle w:val="ListParagraph"/>
        <w:ind w:left="0"/>
        <w:contextualSpacing w:val="0"/>
        <w:jc w:val="both"/>
        <w:rPr>
          <w:rFonts w:ascii="Verdana" w:hAnsi="Verdana"/>
          <w:sz w:val="20"/>
          <w:szCs w:val="20"/>
        </w:rPr>
      </w:pPr>
      <w:r>
        <w:rPr>
          <w:rFonts w:ascii="Verdana" w:hAnsi="Verdana"/>
          <w:sz w:val="20"/>
          <w:szCs w:val="20"/>
        </w:rPr>
        <w:t>80</w:t>
      </w:r>
      <w:r w:rsidR="00454C7F" w:rsidRPr="005A4DF1">
        <w:rPr>
          <w:rFonts w:ascii="Verdana" w:hAnsi="Verdana"/>
          <w:sz w:val="20"/>
          <w:szCs w:val="20"/>
        </w:rPr>
        <w:t>.</w:t>
      </w:r>
      <w:r w:rsidR="00454C7F" w:rsidRPr="005A4DF1">
        <w:rPr>
          <w:rFonts w:ascii="Verdana" w:hAnsi="Verdana"/>
          <w:sz w:val="20"/>
          <w:szCs w:val="20"/>
        </w:rPr>
        <w:tab/>
        <w:t>En la misma Ob</w:t>
      </w:r>
      <w:r w:rsidR="00790075">
        <w:rPr>
          <w:rFonts w:ascii="Verdana" w:hAnsi="Verdana"/>
          <w:sz w:val="20"/>
          <w:szCs w:val="20"/>
        </w:rPr>
        <w:t>servación General el Comité DESC</w:t>
      </w:r>
      <w:r w:rsidR="00454C7F" w:rsidRPr="005A4DF1">
        <w:rPr>
          <w:rFonts w:ascii="Verdana" w:hAnsi="Verdana"/>
          <w:sz w:val="20"/>
          <w:szCs w:val="20"/>
        </w:rPr>
        <w:t>, señaló cómo el incumplimiento de los deberes citados genera “violaciones” al derecho</w:t>
      </w:r>
      <w:r w:rsidR="00454C7F" w:rsidRPr="005A4DF1">
        <w:rPr>
          <w:rStyle w:val="FootnoteReference"/>
          <w:rFonts w:ascii="Verdana" w:hAnsi="Verdana"/>
          <w:sz w:val="20"/>
          <w:szCs w:val="20"/>
        </w:rPr>
        <w:footnoteReference w:id="98"/>
      </w:r>
      <w:r w:rsidR="00454C7F" w:rsidRPr="005A4DF1">
        <w:rPr>
          <w:rFonts w:ascii="Verdana" w:hAnsi="Verdana"/>
          <w:sz w:val="20"/>
          <w:szCs w:val="20"/>
        </w:rPr>
        <w:t>. En particular, por resultar pertinente en relación al caso, interesa destacar que advirtió que “[l]as violaciones de las obligaciones de proteger dimanan del hecho de que un Estado no adopte todas las medidas necesarias para proteger, dentro de su jurisdicción, a las personas contra las violaciones del derecho a la salud por terceros”</w:t>
      </w:r>
      <w:r w:rsidR="00454C7F" w:rsidRPr="005A4DF1">
        <w:rPr>
          <w:rStyle w:val="FootnoteReference"/>
          <w:rFonts w:ascii="Verdana" w:hAnsi="Verdana"/>
          <w:sz w:val="20"/>
          <w:szCs w:val="20"/>
        </w:rPr>
        <w:footnoteReference w:id="99"/>
      </w:r>
      <w:r w:rsidR="00454C7F" w:rsidRPr="005A4DF1">
        <w:rPr>
          <w:rFonts w:ascii="Verdana" w:hAnsi="Verdana"/>
          <w:sz w:val="20"/>
          <w:szCs w:val="20"/>
        </w:rPr>
        <w:t xml:space="preserve">. Entiendo que esta aseveración resulta pertinente, por analogía, respecto a otros derechos. </w:t>
      </w:r>
    </w:p>
    <w:p w14:paraId="693BB949" w14:textId="77777777" w:rsidR="00454C7F" w:rsidRPr="005A4DF1" w:rsidRDefault="00454C7F" w:rsidP="00454C7F">
      <w:pPr>
        <w:pStyle w:val="ListParagraph"/>
        <w:ind w:left="0"/>
        <w:contextualSpacing w:val="0"/>
        <w:jc w:val="both"/>
        <w:rPr>
          <w:rFonts w:ascii="Verdana" w:hAnsi="Verdana"/>
          <w:sz w:val="20"/>
          <w:szCs w:val="20"/>
        </w:rPr>
      </w:pPr>
    </w:p>
    <w:p w14:paraId="334016F6" w14:textId="39C741DF" w:rsidR="00454C7F" w:rsidRPr="005A4DF1" w:rsidRDefault="00790894" w:rsidP="00454C7F">
      <w:pPr>
        <w:pStyle w:val="ListParagraph"/>
        <w:ind w:left="0"/>
        <w:contextualSpacing w:val="0"/>
        <w:jc w:val="both"/>
        <w:rPr>
          <w:rFonts w:ascii="Verdana" w:hAnsi="Verdana"/>
          <w:sz w:val="20"/>
          <w:szCs w:val="20"/>
        </w:rPr>
      </w:pPr>
      <w:r>
        <w:rPr>
          <w:rFonts w:ascii="Verdana" w:hAnsi="Verdana"/>
          <w:sz w:val="20"/>
          <w:szCs w:val="20"/>
        </w:rPr>
        <w:t>81</w:t>
      </w:r>
      <w:r w:rsidR="00454C7F" w:rsidRPr="005A4DF1">
        <w:rPr>
          <w:rFonts w:ascii="Verdana" w:hAnsi="Verdana"/>
          <w:sz w:val="20"/>
          <w:szCs w:val="20"/>
        </w:rPr>
        <w:t>.</w:t>
      </w:r>
      <w:r w:rsidR="00454C7F" w:rsidRPr="005A4DF1">
        <w:rPr>
          <w:rFonts w:ascii="Verdana" w:hAnsi="Verdana"/>
          <w:sz w:val="20"/>
          <w:szCs w:val="20"/>
        </w:rPr>
        <w:tab/>
        <w:t>Ahora bien, si se observa, el régimen obligaci</w:t>
      </w:r>
      <w:r w:rsidR="00790075">
        <w:rPr>
          <w:rFonts w:ascii="Verdana" w:hAnsi="Verdana"/>
          <w:sz w:val="20"/>
          <w:szCs w:val="20"/>
        </w:rPr>
        <w:t>onal señalado por el Comité DESC</w:t>
      </w:r>
      <w:r w:rsidR="00454C7F" w:rsidRPr="005A4DF1">
        <w:rPr>
          <w:rFonts w:ascii="Verdana" w:hAnsi="Verdana"/>
          <w:sz w:val="20"/>
          <w:szCs w:val="20"/>
        </w:rPr>
        <w:t xml:space="preserve"> no difiere, más allá de precisiones y diferencias term</w:t>
      </w:r>
      <w:r w:rsidR="00790075">
        <w:rPr>
          <w:rFonts w:ascii="Verdana" w:hAnsi="Verdana"/>
          <w:sz w:val="20"/>
          <w:szCs w:val="20"/>
        </w:rPr>
        <w:t>inológicas, del régimen institui</w:t>
      </w:r>
      <w:r w:rsidR="00454C7F" w:rsidRPr="005A4DF1">
        <w:rPr>
          <w:rFonts w:ascii="Verdana" w:hAnsi="Verdana"/>
          <w:sz w:val="20"/>
          <w:szCs w:val="20"/>
        </w:rPr>
        <w:t xml:space="preserve">do por los artículos 1.1 y 2 de la Convención, que establecen los deberes de “respetar”, “garantizar” y “adoptar […] medidas legislativas o de otro carácter […] para hacer efectivos” los derechos.  </w:t>
      </w:r>
    </w:p>
    <w:p w14:paraId="3CBDB55B" w14:textId="77777777" w:rsidR="00454C7F" w:rsidRPr="005A4DF1" w:rsidRDefault="00454C7F" w:rsidP="00454C7F">
      <w:pPr>
        <w:pStyle w:val="ListParagraph"/>
        <w:ind w:left="0"/>
        <w:contextualSpacing w:val="0"/>
        <w:jc w:val="both"/>
        <w:rPr>
          <w:rFonts w:ascii="Verdana" w:hAnsi="Verdana"/>
          <w:sz w:val="20"/>
          <w:szCs w:val="20"/>
        </w:rPr>
      </w:pPr>
    </w:p>
    <w:p w14:paraId="2DA7C845" w14:textId="507D7A20" w:rsidR="00454C7F" w:rsidRDefault="00790894" w:rsidP="00454C7F">
      <w:pPr>
        <w:jc w:val="both"/>
        <w:rPr>
          <w:rFonts w:ascii="Verdana" w:hAnsi="Verdana"/>
          <w:sz w:val="20"/>
          <w:szCs w:val="20"/>
        </w:rPr>
      </w:pPr>
      <w:r>
        <w:rPr>
          <w:rFonts w:ascii="Verdana" w:hAnsi="Verdana"/>
          <w:sz w:val="20"/>
          <w:szCs w:val="20"/>
        </w:rPr>
        <w:t>82</w:t>
      </w:r>
      <w:r w:rsidR="00454C7F" w:rsidRPr="005A4DF1">
        <w:rPr>
          <w:rFonts w:ascii="Verdana" w:hAnsi="Verdana"/>
          <w:sz w:val="20"/>
          <w:szCs w:val="20"/>
        </w:rPr>
        <w:t>.</w:t>
      </w:r>
      <w:r w:rsidR="00454C7F" w:rsidRPr="005A4DF1">
        <w:rPr>
          <w:rFonts w:ascii="Verdana" w:hAnsi="Verdana"/>
          <w:sz w:val="20"/>
          <w:szCs w:val="20"/>
        </w:rPr>
        <w:tab/>
        <w:t xml:space="preserve">En cuanto al artículo 1.1 la Corte ha dicho que “es una norma de carácter general cuyo contenido </w:t>
      </w:r>
      <w:r w:rsidR="00454C7F" w:rsidRPr="005A4DF1">
        <w:rPr>
          <w:rFonts w:ascii="Verdana" w:hAnsi="Verdana"/>
          <w:i/>
          <w:sz w:val="20"/>
          <w:szCs w:val="20"/>
        </w:rPr>
        <w:t>se extiende a todas las disposiciones del tratado</w:t>
      </w:r>
      <w:r w:rsidR="00454C7F" w:rsidRPr="005A4DF1">
        <w:rPr>
          <w:rFonts w:ascii="Verdana" w:hAnsi="Verdana"/>
          <w:sz w:val="20"/>
          <w:szCs w:val="20"/>
        </w:rPr>
        <w:t>, y dispone la obligación de los Estados Parte de respetar y garantizar el pleno y libre ejercicio de los derechos y libertades allí reconocidos ‘sin discriminación alguna’”</w:t>
      </w:r>
      <w:r w:rsidR="00454C7F" w:rsidRPr="005A4DF1">
        <w:rPr>
          <w:rStyle w:val="FootnoteReference"/>
          <w:rFonts w:ascii="Verdana" w:hAnsi="Verdana"/>
          <w:sz w:val="20"/>
          <w:szCs w:val="20"/>
        </w:rPr>
        <w:footnoteReference w:id="100"/>
      </w:r>
      <w:r w:rsidR="00454C7F" w:rsidRPr="005A4DF1">
        <w:rPr>
          <w:rFonts w:ascii="Verdana" w:hAnsi="Verdana"/>
          <w:sz w:val="20"/>
          <w:szCs w:val="20"/>
        </w:rPr>
        <w:t xml:space="preserve"> (énfasis añadido). Expresó que</w:t>
      </w:r>
      <w:r w:rsidR="00790075">
        <w:rPr>
          <w:rFonts w:ascii="Verdana" w:hAnsi="Verdana"/>
          <w:sz w:val="20"/>
          <w:szCs w:val="20"/>
        </w:rPr>
        <w:t>:</w:t>
      </w:r>
      <w:r w:rsidR="00454C7F" w:rsidRPr="005A4DF1">
        <w:rPr>
          <w:rFonts w:ascii="Verdana" w:hAnsi="Verdana"/>
          <w:sz w:val="20"/>
          <w:szCs w:val="20"/>
        </w:rPr>
        <w:t xml:space="preserve"> </w:t>
      </w:r>
    </w:p>
    <w:p w14:paraId="7F2A5273" w14:textId="77777777" w:rsidR="00790075" w:rsidRPr="005A4DF1" w:rsidRDefault="00790075" w:rsidP="00454C7F">
      <w:pPr>
        <w:jc w:val="both"/>
        <w:rPr>
          <w:rFonts w:ascii="Verdana" w:hAnsi="Verdana"/>
          <w:sz w:val="20"/>
          <w:szCs w:val="20"/>
        </w:rPr>
      </w:pPr>
    </w:p>
    <w:p w14:paraId="18BACE0B" w14:textId="7D11CB4D" w:rsidR="00454C7F" w:rsidRPr="0070163D" w:rsidRDefault="00454C7F" w:rsidP="00652B63">
      <w:pPr>
        <w:ind w:left="709" w:right="616"/>
        <w:jc w:val="both"/>
        <w:rPr>
          <w:rFonts w:ascii="Verdana" w:hAnsi="Verdana"/>
          <w:sz w:val="16"/>
          <w:szCs w:val="16"/>
        </w:rPr>
      </w:pPr>
      <w:proofErr w:type="gramStart"/>
      <w:r w:rsidRPr="0070163D">
        <w:rPr>
          <w:rFonts w:ascii="Verdana" w:hAnsi="Verdana"/>
          <w:sz w:val="16"/>
          <w:szCs w:val="16"/>
          <w:lang w:val="es-ES"/>
        </w:rPr>
        <w:t>en</w:t>
      </w:r>
      <w:proofErr w:type="gramEnd"/>
      <w:r w:rsidRPr="0070163D">
        <w:rPr>
          <w:rFonts w:ascii="Verdana" w:hAnsi="Verdana"/>
          <w:sz w:val="16"/>
          <w:szCs w:val="16"/>
          <w:lang w:val="es-ES"/>
        </w:rPr>
        <w:t xml:space="preserve"> aplicación del artículo 1.1 de la Convención, los Estados poseen la obligación </w:t>
      </w:r>
      <w:r w:rsidRPr="0070163D">
        <w:rPr>
          <w:rFonts w:ascii="Verdana" w:hAnsi="Verdana"/>
          <w:i/>
          <w:sz w:val="16"/>
          <w:szCs w:val="16"/>
          <w:lang w:val="es-ES"/>
        </w:rPr>
        <w:t>erga omnes</w:t>
      </w:r>
      <w:r w:rsidRPr="0070163D">
        <w:rPr>
          <w:rFonts w:ascii="Verdana" w:hAnsi="Verdana"/>
          <w:sz w:val="16"/>
          <w:szCs w:val="16"/>
          <w:lang w:val="es-ES"/>
        </w:rPr>
        <w:t xml:space="preserve"> de respetar y garantizar las normas de protección, así como de asegurar la efectividad de los derechos humanos. Por consiguiente, los Estados se comprometen no solo a respetar los derechos y libertades en ella reconocidos (obligación negativa), sino también a adoptar todas las medidas apropiadas para garantizarlos (obligación positiva). </w:t>
      </w:r>
      <w:r w:rsidRPr="0070163D">
        <w:rPr>
          <w:rFonts w:ascii="Verdana" w:hAnsi="Verdana" w:cs="Verdana"/>
          <w:sz w:val="16"/>
          <w:szCs w:val="16"/>
          <w:lang w:val="es-ES"/>
        </w:rPr>
        <w:t>En este sentido, la Corte ha establecido que no basta que los Estados se abstengan de violar los derechos, sino que es imperativa la adopción de medidas positivas, determinables en función de las particulares necesidades de protección del sujeto de derecho, ya sea por su condición personal o por la situación específica en que se encuentre</w:t>
      </w:r>
      <w:r w:rsidRPr="0070163D">
        <w:rPr>
          <w:rStyle w:val="FootnoteReference"/>
          <w:rFonts w:ascii="Verdana" w:hAnsi="Verdana"/>
          <w:sz w:val="16"/>
          <w:szCs w:val="16"/>
          <w:lang w:val="es-ES"/>
        </w:rPr>
        <w:footnoteReference w:id="101"/>
      </w:r>
      <w:r w:rsidRPr="0070163D">
        <w:rPr>
          <w:rFonts w:ascii="Verdana" w:hAnsi="Verdana" w:cs="Verdana"/>
          <w:sz w:val="16"/>
          <w:szCs w:val="16"/>
          <w:lang w:val="es-ES"/>
        </w:rPr>
        <w:t>.</w:t>
      </w:r>
    </w:p>
    <w:p w14:paraId="517F40B4" w14:textId="77777777" w:rsidR="00454C7F" w:rsidRPr="005A4DF1" w:rsidRDefault="00454C7F" w:rsidP="00454C7F">
      <w:pPr>
        <w:pStyle w:val="PrrafodeSentencia"/>
        <w:numPr>
          <w:ilvl w:val="0"/>
          <w:numId w:val="0"/>
        </w:numPr>
      </w:pPr>
    </w:p>
    <w:p w14:paraId="19E228E3" w14:textId="78356495" w:rsidR="00454C7F" w:rsidRPr="005A4DF1" w:rsidRDefault="00790894" w:rsidP="00454C7F">
      <w:pPr>
        <w:pStyle w:val="ListParagraph"/>
        <w:ind w:left="0"/>
        <w:contextualSpacing w:val="0"/>
        <w:jc w:val="both"/>
        <w:rPr>
          <w:rFonts w:ascii="Verdana" w:hAnsi="Verdana"/>
          <w:sz w:val="20"/>
          <w:szCs w:val="20"/>
          <w:lang w:val="es-CR"/>
        </w:rPr>
      </w:pPr>
      <w:r>
        <w:rPr>
          <w:rFonts w:ascii="Verdana" w:hAnsi="Verdana"/>
          <w:sz w:val="20"/>
          <w:szCs w:val="20"/>
        </w:rPr>
        <w:t>83</w:t>
      </w:r>
      <w:r w:rsidR="00454C7F" w:rsidRPr="005A4DF1">
        <w:rPr>
          <w:rFonts w:ascii="Verdana" w:hAnsi="Verdana"/>
          <w:sz w:val="20"/>
          <w:szCs w:val="20"/>
        </w:rPr>
        <w:t>.</w:t>
      </w:r>
      <w:r w:rsidR="00454C7F" w:rsidRPr="005A4DF1">
        <w:rPr>
          <w:rFonts w:ascii="Verdana" w:hAnsi="Verdana"/>
          <w:sz w:val="20"/>
          <w:szCs w:val="20"/>
        </w:rPr>
        <w:tab/>
        <w:t xml:space="preserve">De lo anterior se sigue que el sentido de “respeto” </w:t>
      </w:r>
      <w:r w:rsidR="00790075">
        <w:rPr>
          <w:rFonts w:ascii="Verdana" w:hAnsi="Verdana"/>
          <w:sz w:val="20"/>
          <w:szCs w:val="20"/>
        </w:rPr>
        <w:t>se asimila al que el Comité DESC</w:t>
      </w:r>
      <w:r w:rsidR="00454C7F" w:rsidRPr="005A4DF1">
        <w:rPr>
          <w:rFonts w:ascii="Verdana" w:hAnsi="Verdana"/>
          <w:sz w:val="20"/>
          <w:szCs w:val="20"/>
        </w:rPr>
        <w:t xml:space="preserve"> ha dado a la misma expresión, y también que un aspecto de la obligación de garantía es el deber estatal de “prevenir” violaciones a los </w:t>
      </w:r>
      <w:r w:rsidR="00454C7F" w:rsidRPr="00014EB7">
        <w:rPr>
          <w:rFonts w:ascii="Verdana" w:hAnsi="Verdana"/>
          <w:sz w:val="20"/>
          <w:szCs w:val="20"/>
        </w:rPr>
        <w:t>derechos por parte de particulares, que tiene puntos de contacto con el deber de “prote</w:t>
      </w:r>
      <w:r w:rsidR="00790075" w:rsidRPr="00014EB7">
        <w:rPr>
          <w:rFonts w:ascii="Verdana" w:hAnsi="Verdana"/>
          <w:sz w:val="20"/>
          <w:szCs w:val="20"/>
        </w:rPr>
        <w:t>ger” señalado por el Comité DESC</w:t>
      </w:r>
      <w:r w:rsidR="00454C7F" w:rsidRPr="00014EB7">
        <w:rPr>
          <w:rFonts w:ascii="Verdana" w:hAnsi="Verdana"/>
          <w:sz w:val="20"/>
          <w:szCs w:val="20"/>
        </w:rPr>
        <w:t>. Nótese que en cua</w:t>
      </w:r>
      <w:r w:rsidR="00872450" w:rsidRPr="00014EB7">
        <w:rPr>
          <w:rFonts w:ascii="Verdana" w:hAnsi="Verdana"/>
          <w:sz w:val="20"/>
          <w:szCs w:val="20"/>
        </w:rPr>
        <w:t xml:space="preserve">nto al deber de prevención </w:t>
      </w:r>
      <w:r w:rsidR="00872450" w:rsidRPr="00DB01B1">
        <w:rPr>
          <w:rFonts w:ascii="Verdana" w:hAnsi="Verdana"/>
          <w:sz w:val="20"/>
          <w:szCs w:val="20"/>
        </w:rPr>
        <w:t>el pá</w:t>
      </w:r>
      <w:r w:rsidR="00454C7F" w:rsidRPr="00DB01B1">
        <w:rPr>
          <w:rFonts w:ascii="Verdana" w:hAnsi="Verdana"/>
          <w:sz w:val="20"/>
          <w:szCs w:val="20"/>
        </w:rPr>
        <w:t>rrafo 18</w:t>
      </w:r>
      <w:r w:rsidR="002D574A">
        <w:rPr>
          <w:rFonts w:ascii="Verdana" w:hAnsi="Verdana"/>
          <w:sz w:val="20"/>
          <w:szCs w:val="20"/>
        </w:rPr>
        <w:t>1</w:t>
      </w:r>
      <w:r w:rsidR="00454C7F" w:rsidRPr="00DB01B1">
        <w:rPr>
          <w:rFonts w:ascii="Verdana" w:hAnsi="Verdana"/>
          <w:sz w:val="20"/>
          <w:szCs w:val="20"/>
        </w:rPr>
        <w:t xml:space="preserve"> de la Sentencia</w:t>
      </w:r>
      <w:r w:rsidR="00454C7F" w:rsidRPr="009B37C8">
        <w:rPr>
          <w:rFonts w:ascii="Verdana" w:hAnsi="Verdana"/>
          <w:sz w:val="20"/>
          <w:szCs w:val="20"/>
        </w:rPr>
        <w:t xml:space="preserve"> r</w:t>
      </w:r>
      <w:r w:rsidR="00454C7F" w:rsidRPr="00014EB7">
        <w:rPr>
          <w:rFonts w:ascii="Verdana" w:hAnsi="Verdana"/>
          <w:sz w:val="20"/>
          <w:szCs w:val="20"/>
        </w:rPr>
        <w:t>especto a la que se emite este voto manifiesta, con base en precedentes del Tribunal, que “[d]</w:t>
      </w:r>
      <w:r w:rsidR="00454C7F" w:rsidRPr="00014EB7">
        <w:rPr>
          <w:rFonts w:ascii="Verdana" w:hAnsi="Verdana"/>
          <w:sz w:val="20"/>
          <w:szCs w:val="20"/>
          <w:lang w:val="es-CR"/>
        </w:rPr>
        <w:t xml:space="preserve">el artículo 1.1. </w:t>
      </w:r>
      <w:proofErr w:type="gramStart"/>
      <w:r w:rsidR="00454C7F" w:rsidRPr="00014EB7">
        <w:rPr>
          <w:rFonts w:ascii="Verdana" w:hAnsi="Verdana"/>
          <w:sz w:val="20"/>
          <w:szCs w:val="20"/>
          <w:lang w:val="es-CR"/>
        </w:rPr>
        <w:t>de</w:t>
      </w:r>
      <w:proofErr w:type="gramEnd"/>
      <w:r w:rsidR="00454C7F" w:rsidRPr="00014EB7">
        <w:rPr>
          <w:rFonts w:ascii="Verdana" w:hAnsi="Verdana"/>
          <w:sz w:val="20"/>
          <w:szCs w:val="20"/>
          <w:lang w:val="es-CR"/>
        </w:rPr>
        <w:t xml:space="preserve"> la Convención derivan deberes especiales</w:t>
      </w:r>
      <w:r w:rsidR="00454C7F" w:rsidRPr="005A4DF1">
        <w:rPr>
          <w:rFonts w:ascii="Verdana" w:hAnsi="Verdana"/>
          <w:sz w:val="20"/>
          <w:szCs w:val="20"/>
          <w:lang w:val="es-CR"/>
        </w:rPr>
        <w:t>, determinables en función de las particulares necesidades de protección del sujeto de derecho, ya sea por su condición personal o por la situación específica en que se encuentre. Así,</w:t>
      </w:r>
      <w:r w:rsidR="00454C7F" w:rsidRPr="005A4DF1" w:rsidDel="00492700">
        <w:rPr>
          <w:rFonts w:ascii="Verdana" w:hAnsi="Verdana"/>
          <w:sz w:val="20"/>
          <w:szCs w:val="20"/>
          <w:lang w:val="es-CR"/>
        </w:rPr>
        <w:t xml:space="preserve"> </w:t>
      </w:r>
      <w:r w:rsidR="00454C7F" w:rsidRPr="005A4DF1">
        <w:rPr>
          <w:rFonts w:ascii="Verdana" w:hAnsi="Verdana"/>
          <w:sz w:val="20"/>
          <w:szCs w:val="20"/>
          <w:lang w:val="es-CR"/>
        </w:rPr>
        <w:t>de la obligación de garantía se desprende un deber de medio o de comportamiento, no de resultado, de prevenir que particulares vulneren bienes protegidos por derechos plasmados en el tratado”</w:t>
      </w:r>
      <w:r w:rsidR="00014EB7">
        <w:rPr>
          <w:rStyle w:val="FootnoteReference"/>
          <w:rFonts w:ascii="Verdana" w:hAnsi="Verdana"/>
          <w:sz w:val="20"/>
          <w:szCs w:val="20"/>
          <w:lang w:val="es-CR"/>
        </w:rPr>
        <w:footnoteReference w:id="102"/>
      </w:r>
      <w:r w:rsidR="00454C7F" w:rsidRPr="005A4DF1">
        <w:rPr>
          <w:rFonts w:ascii="Verdana" w:hAnsi="Verdana"/>
          <w:sz w:val="20"/>
          <w:szCs w:val="20"/>
          <w:lang w:val="es-CR"/>
        </w:rPr>
        <w:t>.</w:t>
      </w:r>
    </w:p>
    <w:p w14:paraId="14474ABC" w14:textId="77777777" w:rsidR="00454C7F" w:rsidRPr="005A4DF1" w:rsidRDefault="00454C7F" w:rsidP="00454C7F">
      <w:pPr>
        <w:pStyle w:val="ListParagraph"/>
        <w:ind w:left="0"/>
        <w:contextualSpacing w:val="0"/>
        <w:jc w:val="both"/>
        <w:rPr>
          <w:rFonts w:ascii="Verdana" w:hAnsi="Verdana"/>
          <w:sz w:val="20"/>
          <w:szCs w:val="20"/>
          <w:lang w:val="es-CR"/>
        </w:rPr>
      </w:pPr>
    </w:p>
    <w:p w14:paraId="4D653E5A" w14:textId="656C5DD4" w:rsidR="00454C7F" w:rsidRDefault="00790894" w:rsidP="00454C7F">
      <w:pPr>
        <w:pStyle w:val="ListParagraph"/>
        <w:ind w:left="0"/>
        <w:contextualSpacing w:val="0"/>
        <w:jc w:val="both"/>
        <w:rPr>
          <w:rFonts w:ascii="Verdana" w:hAnsi="Verdana"/>
          <w:sz w:val="20"/>
          <w:szCs w:val="20"/>
          <w:lang w:val="es-CO"/>
        </w:rPr>
      </w:pPr>
      <w:r>
        <w:rPr>
          <w:rFonts w:ascii="Verdana" w:hAnsi="Verdana"/>
          <w:sz w:val="20"/>
          <w:szCs w:val="20"/>
          <w:lang w:val="es-CR"/>
        </w:rPr>
        <w:t>84</w:t>
      </w:r>
      <w:r w:rsidR="00454C7F" w:rsidRPr="005A4DF1">
        <w:rPr>
          <w:rFonts w:ascii="Verdana" w:hAnsi="Verdana"/>
          <w:sz w:val="20"/>
          <w:szCs w:val="20"/>
          <w:lang w:val="es-CR"/>
        </w:rPr>
        <w:t>.</w:t>
      </w:r>
      <w:r w:rsidR="00454C7F" w:rsidRPr="005A4DF1">
        <w:rPr>
          <w:rFonts w:ascii="Verdana" w:hAnsi="Verdana"/>
          <w:sz w:val="20"/>
          <w:szCs w:val="20"/>
          <w:lang w:val="es-CR"/>
        </w:rPr>
        <w:tab/>
        <w:t>Sobre el artículo 2 de la Convención</w:t>
      </w:r>
      <w:r w:rsidR="00790075">
        <w:rPr>
          <w:rFonts w:ascii="Verdana" w:hAnsi="Verdana"/>
          <w:sz w:val="20"/>
          <w:szCs w:val="20"/>
          <w:lang w:val="es-CR"/>
        </w:rPr>
        <w:t xml:space="preserve"> Americana</w:t>
      </w:r>
      <w:r w:rsidR="00454C7F" w:rsidRPr="005A4DF1">
        <w:rPr>
          <w:rFonts w:ascii="Verdana" w:hAnsi="Verdana"/>
          <w:sz w:val="20"/>
          <w:szCs w:val="20"/>
          <w:lang w:val="es-CR"/>
        </w:rPr>
        <w:t xml:space="preserve">, la Corte </w:t>
      </w:r>
      <w:r w:rsidR="00790075">
        <w:rPr>
          <w:rFonts w:ascii="Verdana" w:hAnsi="Verdana"/>
          <w:sz w:val="20"/>
          <w:szCs w:val="20"/>
          <w:lang w:val="es-CR"/>
        </w:rPr>
        <w:t xml:space="preserve">IDH </w:t>
      </w:r>
      <w:r w:rsidR="00454C7F" w:rsidRPr="005A4DF1">
        <w:rPr>
          <w:rFonts w:ascii="Verdana" w:hAnsi="Verdana"/>
          <w:sz w:val="20"/>
          <w:szCs w:val="20"/>
          <w:lang w:val="es-CR"/>
        </w:rPr>
        <w:t>ha señalado que “</w:t>
      </w:r>
      <w:r w:rsidR="00454C7F" w:rsidRPr="005A4DF1">
        <w:rPr>
          <w:rFonts w:ascii="Verdana" w:hAnsi="Verdana"/>
          <w:sz w:val="20"/>
          <w:szCs w:val="20"/>
          <w:lang w:val="es-CO"/>
        </w:rPr>
        <w:t>obliga a los Estados Partes a adoptar, con arreglo a sus procedimientos constitucionales y a las disposiciones de la Convención, las medidas legislativas o de otro carácter que fueren necesarias para hacer efectivos los derechos y libertades protegidos por la Convención”</w:t>
      </w:r>
      <w:r w:rsidR="00454C7F" w:rsidRPr="005A4DF1">
        <w:rPr>
          <w:rStyle w:val="FootnoteReference"/>
          <w:rFonts w:ascii="Verdana" w:hAnsi="Verdana"/>
          <w:sz w:val="20"/>
          <w:szCs w:val="20"/>
          <w:lang w:val="es-CO"/>
        </w:rPr>
        <w:footnoteReference w:id="103"/>
      </w:r>
      <w:r w:rsidR="0083334B">
        <w:rPr>
          <w:rFonts w:ascii="Verdana" w:hAnsi="Verdana"/>
          <w:sz w:val="20"/>
          <w:szCs w:val="20"/>
          <w:lang w:val="es-CO"/>
        </w:rPr>
        <w:t>, y que:</w:t>
      </w:r>
    </w:p>
    <w:p w14:paraId="72D9F531" w14:textId="77777777" w:rsidR="0083334B" w:rsidRPr="005A4DF1" w:rsidRDefault="0083334B" w:rsidP="00454C7F">
      <w:pPr>
        <w:pStyle w:val="ListParagraph"/>
        <w:ind w:left="0"/>
        <w:contextualSpacing w:val="0"/>
        <w:jc w:val="both"/>
        <w:rPr>
          <w:rFonts w:ascii="Verdana" w:hAnsi="Verdana"/>
          <w:sz w:val="20"/>
          <w:szCs w:val="20"/>
          <w:lang w:val="es-CR"/>
        </w:rPr>
      </w:pPr>
    </w:p>
    <w:p w14:paraId="5FD93378" w14:textId="682ADD08" w:rsidR="007A217F" w:rsidRPr="0070163D" w:rsidRDefault="00454C7F" w:rsidP="00B16B13">
      <w:pPr>
        <w:pStyle w:val="ListParagraph"/>
        <w:ind w:left="709" w:right="616"/>
        <w:contextualSpacing w:val="0"/>
        <w:jc w:val="both"/>
        <w:rPr>
          <w:rFonts w:ascii="Verdana" w:hAnsi="Verdana"/>
          <w:sz w:val="16"/>
          <w:szCs w:val="16"/>
          <w:lang w:val="es-CR"/>
        </w:rPr>
      </w:pPr>
      <w:proofErr w:type="gramStart"/>
      <w:r w:rsidRPr="0070163D">
        <w:rPr>
          <w:rFonts w:ascii="Verdana" w:hAnsi="Verdana"/>
          <w:sz w:val="16"/>
          <w:szCs w:val="16"/>
        </w:rPr>
        <w:t>dicha</w:t>
      </w:r>
      <w:proofErr w:type="gramEnd"/>
      <w:r w:rsidRPr="0070163D">
        <w:rPr>
          <w:rFonts w:ascii="Verdana" w:hAnsi="Verdana"/>
          <w:sz w:val="16"/>
          <w:szCs w:val="16"/>
        </w:rPr>
        <w:t xml:space="preserve"> norma impone a los Estados Partes la obligación general de adecuar su derecho interno a las normas de la propia Convención, para garantizar y hacer efectivo el ejercicio de los derechos y libertades reconocidos en ésta. La Corte ha mantenido que tal adecuación implica la adopción de medidas en dos vertientes, a saber: a) la expedición de normas y el desarrollo de prácticas conducentes a la efectiva observancia de dichas garantía, y b) la supresión de las normas y prácticas de cualquier naturaleza que entrañen violación a las garantías previstas en la Convención, ya sea porque desconozcan esos derechos o libertades u obstaculicen su ejercicio. […] Como este Tribunal ha señalado […], las disposiciones de derecho interno que se adopten para tales fines han de ser efectivas (principio del </w:t>
      </w:r>
      <w:proofErr w:type="spellStart"/>
      <w:r w:rsidRPr="0070163D">
        <w:rPr>
          <w:rFonts w:ascii="Verdana" w:hAnsi="Verdana"/>
          <w:i/>
          <w:iCs/>
          <w:sz w:val="16"/>
          <w:szCs w:val="16"/>
        </w:rPr>
        <w:t>effet</w:t>
      </w:r>
      <w:proofErr w:type="spellEnd"/>
      <w:r w:rsidRPr="0070163D">
        <w:rPr>
          <w:rFonts w:ascii="Verdana" w:hAnsi="Verdana"/>
          <w:i/>
          <w:iCs/>
          <w:sz w:val="16"/>
          <w:szCs w:val="16"/>
        </w:rPr>
        <w:t xml:space="preserve"> </w:t>
      </w:r>
      <w:proofErr w:type="spellStart"/>
      <w:r w:rsidRPr="0070163D">
        <w:rPr>
          <w:rFonts w:ascii="Verdana" w:hAnsi="Verdana"/>
          <w:i/>
          <w:iCs/>
          <w:sz w:val="16"/>
          <w:szCs w:val="16"/>
        </w:rPr>
        <w:t>utile</w:t>
      </w:r>
      <w:proofErr w:type="spellEnd"/>
      <w:r w:rsidRPr="0070163D">
        <w:rPr>
          <w:rFonts w:ascii="Verdana" w:hAnsi="Verdana"/>
          <w:sz w:val="16"/>
          <w:szCs w:val="16"/>
        </w:rPr>
        <w:t>), lo que significa que el Estado tiene la obligación de consagrar y adoptar en su ordenamiento jurídico interno todas las medidas necesarias para que lo establecido en la Convención sea realmente cumplido y puesto en práctica</w:t>
      </w:r>
      <w:r w:rsidRPr="0070163D">
        <w:rPr>
          <w:rStyle w:val="FootnoteReference"/>
          <w:rFonts w:ascii="Verdana" w:hAnsi="Verdana"/>
          <w:sz w:val="16"/>
          <w:szCs w:val="16"/>
        </w:rPr>
        <w:footnoteReference w:id="104"/>
      </w:r>
      <w:r w:rsidRPr="0070163D">
        <w:rPr>
          <w:rFonts w:ascii="Verdana" w:hAnsi="Verdana"/>
          <w:sz w:val="16"/>
          <w:szCs w:val="16"/>
        </w:rPr>
        <w:t xml:space="preserve">. </w:t>
      </w:r>
    </w:p>
    <w:p w14:paraId="2A986979" w14:textId="77777777" w:rsidR="007A217F" w:rsidRDefault="007A217F" w:rsidP="00454C7F">
      <w:pPr>
        <w:pStyle w:val="ListParagraph"/>
        <w:ind w:left="0"/>
        <w:contextualSpacing w:val="0"/>
        <w:jc w:val="both"/>
        <w:rPr>
          <w:rFonts w:ascii="Verdana" w:hAnsi="Verdana"/>
          <w:sz w:val="20"/>
          <w:szCs w:val="20"/>
        </w:rPr>
      </w:pPr>
    </w:p>
    <w:p w14:paraId="569AC5A5" w14:textId="151A206C" w:rsidR="00454C7F" w:rsidRPr="005A4DF1" w:rsidRDefault="00790894" w:rsidP="00454C7F">
      <w:pPr>
        <w:pStyle w:val="ListParagraph"/>
        <w:ind w:left="0"/>
        <w:contextualSpacing w:val="0"/>
        <w:jc w:val="both"/>
        <w:rPr>
          <w:rFonts w:ascii="Verdana" w:hAnsi="Verdana"/>
          <w:sz w:val="20"/>
          <w:szCs w:val="20"/>
        </w:rPr>
      </w:pPr>
      <w:r>
        <w:rPr>
          <w:rFonts w:ascii="Verdana" w:hAnsi="Verdana"/>
          <w:sz w:val="20"/>
          <w:szCs w:val="20"/>
        </w:rPr>
        <w:t>85</w:t>
      </w:r>
      <w:r w:rsidR="00454C7F" w:rsidRPr="005A4DF1">
        <w:rPr>
          <w:rFonts w:ascii="Verdana" w:hAnsi="Verdana"/>
          <w:sz w:val="20"/>
          <w:szCs w:val="20"/>
        </w:rPr>
        <w:t>.</w:t>
      </w:r>
      <w:r w:rsidR="00454C7F" w:rsidRPr="005A4DF1">
        <w:rPr>
          <w:rFonts w:ascii="Verdana" w:hAnsi="Verdana"/>
          <w:sz w:val="20"/>
          <w:szCs w:val="20"/>
        </w:rPr>
        <w:tab/>
        <w:t>De lo dicho se sigue que no hay una diferencia substancial entre el régimen obligacional previsto en la Convención</w:t>
      </w:r>
      <w:r w:rsidR="005D0C72">
        <w:rPr>
          <w:rFonts w:ascii="Verdana" w:hAnsi="Verdana"/>
          <w:sz w:val="20"/>
          <w:szCs w:val="20"/>
        </w:rPr>
        <w:t xml:space="preserve"> Americana</w:t>
      </w:r>
      <w:r w:rsidR="00454C7F" w:rsidRPr="005A4DF1">
        <w:rPr>
          <w:rFonts w:ascii="Verdana" w:hAnsi="Verdana"/>
          <w:sz w:val="20"/>
          <w:szCs w:val="20"/>
        </w:rPr>
        <w:t>, entendido como lo ha hecho la Corte</w:t>
      </w:r>
      <w:r w:rsidR="005D0C72">
        <w:rPr>
          <w:rFonts w:ascii="Verdana" w:hAnsi="Verdana"/>
          <w:sz w:val="20"/>
          <w:szCs w:val="20"/>
        </w:rPr>
        <w:t xml:space="preserve"> IDH</w:t>
      </w:r>
      <w:r w:rsidR="00454C7F" w:rsidRPr="005A4DF1">
        <w:rPr>
          <w:rFonts w:ascii="Verdana" w:hAnsi="Verdana"/>
          <w:sz w:val="20"/>
          <w:szCs w:val="20"/>
        </w:rPr>
        <w:t>, y aqué</w:t>
      </w:r>
      <w:r w:rsidR="00790075">
        <w:rPr>
          <w:rFonts w:ascii="Verdana" w:hAnsi="Verdana"/>
          <w:sz w:val="20"/>
          <w:szCs w:val="20"/>
        </w:rPr>
        <w:t>l que ha señalado el Comité DESC</w:t>
      </w:r>
      <w:r w:rsidR="00454C7F" w:rsidRPr="005A4DF1">
        <w:rPr>
          <w:rFonts w:ascii="Verdana" w:hAnsi="Verdana"/>
          <w:sz w:val="20"/>
          <w:szCs w:val="20"/>
        </w:rPr>
        <w:t xml:space="preserve">, en relación a los derechos económicos, sociales y culturales reconocidos en el Pacto Internacional de Derechos Económicos, Sociales y Culturales. Entiendo que, dado que los artículos 1.1 y 2 de la Convención </w:t>
      </w:r>
      <w:r w:rsidR="005D0C72">
        <w:rPr>
          <w:rFonts w:ascii="Verdana" w:hAnsi="Verdana"/>
          <w:sz w:val="20"/>
          <w:szCs w:val="20"/>
        </w:rPr>
        <w:t xml:space="preserve">Americana </w:t>
      </w:r>
      <w:r w:rsidR="00454C7F" w:rsidRPr="005A4DF1">
        <w:rPr>
          <w:rFonts w:ascii="Verdana" w:hAnsi="Verdana"/>
          <w:sz w:val="20"/>
          <w:szCs w:val="20"/>
        </w:rPr>
        <w:t>se aplican a todos los derechos referidos en el tratado, dicho régimen obligacional es pertinente respecto a los derechos receptados en el artí</w:t>
      </w:r>
      <w:r w:rsidR="00872450">
        <w:rPr>
          <w:rFonts w:ascii="Verdana" w:hAnsi="Verdana"/>
          <w:sz w:val="20"/>
          <w:szCs w:val="20"/>
        </w:rPr>
        <w:t>cu</w:t>
      </w:r>
      <w:r w:rsidR="00454C7F" w:rsidRPr="005A4DF1">
        <w:rPr>
          <w:rFonts w:ascii="Verdana" w:hAnsi="Verdana"/>
          <w:sz w:val="20"/>
          <w:szCs w:val="20"/>
        </w:rPr>
        <w:t>lo 26 de</w:t>
      </w:r>
      <w:r w:rsidR="005D0C72">
        <w:rPr>
          <w:rFonts w:ascii="Verdana" w:hAnsi="Verdana"/>
          <w:sz w:val="20"/>
          <w:szCs w:val="20"/>
        </w:rPr>
        <w:t>l Pacto de San José</w:t>
      </w:r>
      <w:r w:rsidR="00454C7F" w:rsidRPr="005A4DF1">
        <w:rPr>
          <w:rFonts w:ascii="Verdana" w:hAnsi="Verdana"/>
          <w:sz w:val="20"/>
          <w:szCs w:val="20"/>
        </w:rPr>
        <w:t xml:space="preserve">, entre los que se encuentra el derecho a la vivienda. </w:t>
      </w:r>
    </w:p>
    <w:p w14:paraId="0A9D2D07" w14:textId="77777777" w:rsidR="00454C7F" w:rsidRPr="005A4DF1" w:rsidRDefault="00454C7F" w:rsidP="00454C7F">
      <w:pPr>
        <w:pStyle w:val="ListParagraph"/>
        <w:ind w:left="0"/>
        <w:contextualSpacing w:val="0"/>
        <w:jc w:val="both"/>
        <w:rPr>
          <w:rFonts w:ascii="Verdana" w:hAnsi="Verdana"/>
          <w:sz w:val="20"/>
          <w:szCs w:val="20"/>
        </w:rPr>
      </w:pPr>
    </w:p>
    <w:p w14:paraId="4AD5101A" w14:textId="4C97D05A" w:rsidR="00454C7F" w:rsidRPr="005A4DF1" w:rsidRDefault="00790894" w:rsidP="00454C7F">
      <w:pPr>
        <w:pStyle w:val="ListParagraph"/>
        <w:ind w:left="0"/>
        <w:contextualSpacing w:val="0"/>
        <w:jc w:val="both"/>
        <w:rPr>
          <w:rFonts w:ascii="Verdana" w:hAnsi="Verdana"/>
          <w:sz w:val="20"/>
          <w:szCs w:val="20"/>
        </w:rPr>
      </w:pPr>
      <w:r>
        <w:rPr>
          <w:rFonts w:ascii="Verdana" w:hAnsi="Verdana"/>
          <w:sz w:val="20"/>
          <w:szCs w:val="20"/>
        </w:rPr>
        <w:t>86</w:t>
      </w:r>
      <w:r w:rsidR="00454C7F" w:rsidRPr="005A4DF1">
        <w:rPr>
          <w:rFonts w:ascii="Verdana" w:hAnsi="Verdana"/>
          <w:sz w:val="20"/>
          <w:szCs w:val="20"/>
        </w:rPr>
        <w:t>.</w:t>
      </w:r>
      <w:r w:rsidR="00454C7F" w:rsidRPr="005A4DF1">
        <w:rPr>
          <w:rFonts w:ascii="Verdana" w:hAnsi="Verdana"/>
          <w:sz w:val="20"/>
          <w:szCs w:val="20"/>
        </w:rPr>
        <w:tab/>
        <w:t xml:space="preserve">Ahora bien, siendo esto así, cabe preguntarse qué efectos tiene el señalamiento en el artículo 26 (similar al del artículo 2.1 del Pacto aludido) respecto al deber de “adoptar providencias” para “lograr progresivamente” la “plena efectividad” de los derechos correspondientes. </w:t>
      </w:r>
    </w:p>
    <w:p w14:paraId="6AD795E0" w14:textId="77777777" w:rsidR="00454C7F" w:rsidRPr="005A4DF1" w:rsidRDefault="00454C7F" w:rsidP="00454C7F">
      <w:pPr>
        <w:pStyle w:val="ListParagraph"/>
        <w:ind w:left="0"/>
        <w:contextualSpacing w:val="0"/>
        <w:jc w:val="both"/>
        <w:rPr>
          <w:rFonts w:ascii="Verdana" w:hAnsi="Verdana"/>
          <w:sz w:val="20"/>
          <w:szCs w:val="20"/>
        </w:rPr>
      </w:pPr>
    </w:p>
    <w:p w14:paraId="6B9DA9CF" w14:textId="38306B82" w:rsidR="00454C7F" w:rsidRPr="005A4DF1" w:rsidRDefault="00790894" w:rsidP="00454C7F">
      <w:pPr>
        <w:pStyle w:val="ListParagraph"/>
        <w:ind w:left="0"/>
        <w:contextualSpacing w:val="0"/>
        <w:jc w:val="both"/>
        <w:rPr>
          <w:rFonts w:ascii="Verdana" w:hAnsi="Verdana"/>
          <w:sz w:val="20"/>
          <w:szCs w:val="20"/>
        </w:rPr>
      </w:pPr>
      <w:r>
        <w:rPr>
          <w:rFonts w:ascii="Verdana" w:hAnsi="Verdana"/>
          <w:sz w:val="20"/>
          <w:szCs w:val="20"/>
        </w:rPr>
        <w:t>87</w:t>
      </w:r>
      <w:r w:rsidR="00454C7F" w:rsidRPr="005A4DF1">
        <w:rPr>
          <w:rFonts w:ascii="Verdana" w:hAnsi="Verdana"/>
          <w:sz w:val="20"/>
          <w:szCs w:val="20"/>
        </w:rPr>
        <w:t>.</w:t>
      </w:r>
      <w:r w:rsidR="00454C7F" w:rsidRPr="005A4DF1">
        <w:rPr>
          <w:rFonts w:ascii="Verdana" w:hAnsi="Verdana"/>
          <w:sz w:val="20"/>
          <w:szCs w:val="20"/>
        </w:rPr>
        <w:tab/>
        <w:t xml:space="preserve">Entiendo que la diferencia entre los derechos enlistados como “civiles y políticos” y aquellos catalogados como “económicos, sociales y culturales” no está en la naturaleza de las obligaciones que corresponden, en su </w:t>
      </w:r>
      <w:proofErr w:type="spellStart"/>
      <w:r w:rsidR="00454C7F" w:rsidRPr="005A4DF1">
        <w:rPr>
          <w:rFonts w:ascii="Verdana" w:hAnsi="Verdana"/>
          <w:sz w:val="20"/>
          <w:szCs w:val="20"/>
        </w:rPr>
        <w:t>justiciabilidad</w:t>
      </w:r>
      <w:proofErr w:type="spellEnd"/>
      <w:r w:rsidR="00454C7F" w:rsidRPr="005A4DF1">
        <w:rPr>
          <w:rFonts w:ascii="Verdana" w:hAnsi="Verdana"/>
          <w:sz w:val="20"/>
          <w:szCs w:val="20"/>
        </w:rPr>
        <w:t xml:space="preserve"> o respecto a la competencia del Tribunal</w:t>
      </w:r>
      <w:r w:rsidR="0070163D" w:rsidRPr="005A4DF1">
        <w:rPr>
          <w:rStyle w:val="FootnoteReference"/>
          <w:rFonts w:ascii="Verdana" w:hAnsi="Verdana"/>
          <w:sz w:val="20"/>
          <w:szCs w:val="20"/>
        </w:rPr>
        <w:footnoteReference w:id="105"/>
      </w:r>
      <w:r w:rsidR="00454C7F" w:rsidRPr="005A4DF1">
        <w:rPr>
          <w:rFonts w:ascii="Verdana" w:hAnsi="Verdana"/>
          <w:sz w:val="20"/>
          <w:szCs w:val="20"/>
        </w:rPr>
        <w:t>. La diferencia estriba en que, en determinados aspectos</w:t>
      </w:r>
      <w:r w:rsidR="00790075">
        <w:rPr>
          <w:rFonts w:ascii="Verdana" w:hAnsi="Verdana"/>
          <w:sz w:val="20"/>
          <w:szCs w:val="20"/>
        </w:rPr>
        <w:t xml:space="preserve"> y circunstancias</w:t>
      </w:r>
      <w:r w:rsidR="00454C7F" w:rsidRPr="005A4DF1">
        <w:rPr>
          <w:rFonts w:ascii="Verdana" w:hAnsi="Verdana"/>
          <w:sz w:val="20"/>
          <w:szCs w:val="20"/>
        </w:rPr>
        <w:t xml:space="preserve">, el logro de la “plena efectividad” de los derechos económicos, sociales y culturales no resulta exigible para los Estados de modo inmediato, a partir de la entrada en vigor del </w:t>
      </w:r>
      <w:r w:rsidR="00872450">
        <w:rPr>
          <w:rFonts w:ascii="Verdana" w:hAnsi="Verdana"/>
          <w:sz w:val="20"/>
          <w:szCs w:val="20"/>
        </w:rPr>
        <w:t>tratado, y puede vá</w:t>
      </w:r>
      <w:r w:rsidR="00454C7F" w:rsidRPr="005A4DF1">
        <w:rPr>
          <w:rFonts w:ascii="Verdana" w:hAnsi="Verdana"/>
          <w:sz w:val="20"/>
          <w:szCs w:val="20"/>
        </w:rPr>
        <w:t>lidamente estar supeditada a un “</w:t>
      </w:r>
      <w:proofErr w:type="spellStart"/>
      <w:r w:rsidR="00454C7F" w:rsidRPr="005A4DF1">
        <w:rPr>
          <w:rFonts w:ascii="Verdana" w:hAnsi="Verdana"/>
          <w:sz w:val="20"/>
          <w:szCs w:val="20"/>
        </w:rPr>
        <w:t>logr</w:t>
      </w:r>
      <w:proofErr w:type="spellEnd"/>
      <w:r w:rsidR="00454C7F" w:rsidRPr="005A4DF1">
        <w:rPr>
          <w:rFonts w:ascii="Verdana" w:hAnsi="Verdana"/>
          <w:sz w:val="20"/>
          <w:szCs w:val="20"/>
        </w:rPr>
        <w:t>[o] progres</w:t>
      </w:r>
      <w:r w:rsidR="002C5F28">
        <w:rPr>
          <w:rFonts w:ascii="Verdana" w:hAnsi="Verdana"/>
          <w:sz w:val="20"/>
          <w:szCs w:val="20"/>
        </w:rPr>
        <w:t>ivo”. Por el contrario, es inme</w:t>
      </w:r>
      <w:r w:rsidR="00454C7F" w:rsidRPr="005A4DF1">
        <w:rPr>
          <w:rFonts w:ascii="Verdana" w:hAnsi="Verdana"/>
          <w:sz w:val="20"/>
          <w:szCs w:val="20"/>
        </w:rPr>
        <w:t>d</w:t>
      </w:r>
      <w:r w:rsidR="002C5F28">
        <w:rPr>
          <w:rFonts w:ascii="Verdana" w:hAnsi="Verdana"/>
          <w:sz w:val="20"/>
          <w:szCs w:val="20"/>
        </w:rPr>
        <w:t>i</w:t>
      </w:r>
      <w:r w:rsidR="00454C7F" w:rsidRPr="005A4DF1">
        <w:rPr>
          <w:rFonts w:ascii="Verdana" w:hAnsi="Verdana"/>
          <w:sz w:val="20"/>
          <w:szCs w:val="20"/>
        </w:rPr>
        <w:t>at</w:t>
      </w:r>
      <w:r w:rsidR="002C5F28">
        <w:rPr>
          <w:rFonts w:ascii="Verdana" w:hAnsi="Verdana"/>
          <w:sz w:val="20"/>
          <w:szCs w:val="20"/>
        </w:rPr>
        <w:t>amente</w:t>
      </w:r>
      <w:r w:rsidR="00454C7F" w:rsidRPr="005A4DF1">
        <w:rPr>
          <w:rFonts w:ascii="Verdana" w:hAnsi="Verdana"/>
          <w:sz w:val="20"/>
          <w:szCs w:val="20"/>
        </w:rPr>
        <w:t xml:space="preserve"> exigible la “plena efectividad” de los derechos que se encuentran </w:t>
      </w:r>
      <w:r w:rsidR="002C5F28">
        <w:rPr>
          <w:rFonts w:ascii="Verdana" w:hAnsi="Verdana"/>
          <w:sz w:val="20"/>
          <w:szCs w:val="20"/>
        </w:rPr>
        <w:t>contenidos</w:t>
      </w:r>
      <w:r w:rsidR="00454C7F" w:rsidRPr="005A4DF1">
        <w:rPr>
          <w:rFonts w:ascii="Verdana" w:hAnsi="Verdana"/>
          <w:sz w:val="20"/>
          <w:szCs w:val="20"/>
        </w:rPr>
        <w:t xml:space="preserve"> entre los artículos 3 y 25 de la Convención</w:t>
      </w:r>
      <w:r w:rsidR="005D0C72">
        <w:rPr>
          <w:rFonts w:ascii="Verdana" w:hAnsi="Verdana"/>
          <w:sz w:val="20"/>
          <w:szCs w:val="20"/>
        </w:rPr>
        <w:t xml:space="preserve"> Americana</w:t>
      </w:r>
      <w:r w:rsidR="0020045C" w:rsidRPr="0020045C">
        <w:rPr>
          <w:rStyle w:val="FootnoteReference"/>
          <w:rFonts w:ascii="Verdana" w:hAnsi="Verdana"/>
          <w:sz w:val="20"/>
          <w:szCs w:val="20"/>
        </w:rPr>
        <w:footnoteReference w:id="106"/>
      </w:r>
      <w:r w:rsidR="00454C7F" w:rsidRPr="005A4DF1">
        <w:rPr>
          <w:rFonts w:ascii="Verdana" w:hAnsi="Verdana"/>
          <w:sz w:val="20"/>
          <w:szCs w:val="20"/>
        </w:rPr>
        <w:t xml:space="preserve">. </w:t>
      </w:r>
    </w:p>
    <w:p w14:paraId="1A8858B9" w14:textId="77777777" w:rsidR="00454C7F" w:rsidRPr="005A4DF1" w:rsidRDefault="00454C7F" w:rsidP="00454C7F">
      <w:pPr>
        <w:pStyle w:val="ListParagraph"/>
        <w:ind w:left="0"/>
        <w:contextualSpacing w:val="0"/>
        <w:jc w:val="both"/>
        <w:rPr>
          <w:rFonts w:ascii="Verdana" w:hAnsi="Verdana"/>
          <w:sz w:val="20"/>
          <w:szCs w:val="20"/>
        </w:rPr>
      </w:pPr>
    </w:p>
    <w:p w14:paraId="7BC061AF" w14:textId="7BB4C461" w:rsidR="00454C7F" w:rsidRPr="005A4DF1" w:rsidRDefault="00790894" w:rsidP="00454C7F">
      <w:pPr>
        <w:pStyle w:val="ListParagraph"/>
        <w:ind w:left="0"/>
        <w:contextualSpacing w:val="0"/>
        <w:jc w:val="both"/>
        <w:rPr>
          <w:rFonts w:ascii="Verdana" w:hAnsi="Verdana" w:cs="Arial"/>
          <w:sz w:val="20"/>
          <w:szCs w:val="20"/>
          <w:lang w:val="es-ES"/>
        </w:rPr>
      </w:pPr>
      <w:r>
        <w:rPr>
          <w:rFonts w:ascii="Verdana" w:hAnsi="Verdana"/>
          <w:sz w:val="20"/>
          <w:szCs w:val="20"/>
        </w:rPr>
        <w:t>88</w:t>
      </w:r>
      <w:r w:rsidR="00454C7F" w:rsidRPr="005A4DF1">
        <w:rPr>
          <w:rFonts w:ascii="Verdana" w:hAnsi="Verdana"/>
          <w:sz w:val="20"/>
          <w:szCs w:val="20"/>
        </w:rPr>
        <w:t>.</w:t>
      </w:r>
      <w:r w:rsidR="00454C7F" w:rsidRPr="005A4DF1">
        <w:rPr>
          <w:rFonts w:ascii="Verdana" w:hAnsi="Verdana"/>
          <w:sz w:val="20"/>
          <w:szCs w:val="20"/>
        </w:rPr>
        <w:tab/>
      </w:r>
      <w:r w:rsidR="00C73EB2">
        <w:rPr>
          <w:rFonts w:ascii="Verdana" w:hAnsi="Verdana"/>
          <w:sz w:val="20"/>
          <w:szCs w:val="20"/>
        </w:rPr>
        <w:t>C</w:t>
      </w:r>
      <w:r w:rsidR="00454C7F" w:rsidRPr="005A4DF1">
        <w:rPr>
          <w:rFonts w:ascii="Verdana" w:hAnsi="Verdana"/>
          <w:sz w:val="20"/>
          <w:szCs w:val="20"/>
        </w:rPr>
        <w:t>abe recordar l</w:t>
      </w:r>
      <w:r w:rsidR="00790075">
        <w:rPr>
          <w:rFonts w:ascii="Verdana" w:hAnsi="Verdana"/>
          <w:sz w:val="20"/>
          <w:szCs w:val="20"/>
        </w:rPr>
        <w:t>o que ha señalado el Comité DESC</w:t>
      </w:r>
      <w:r w:rsidR="000838E1">
        <w:rPr>
          <w:rFonts w:ascii="Verdana" w:hAnsi="Verdana"/>
          <w:sz w:val="20"/>
          <w:szCs w:val="20"/>
        </w:rPr>
        <w:t xml:space="preserve"> </w:t>
      </w:r>
      <w:r w:rsidR="000838E1" w:rsidRPr="00751774">
        <w:rPr>
          <w:rFonts w:ascii="Verdana" w:hAnsi="Verdana"/>
          <w:sz w:val="20"/>
          <w:szCs w:val="20"/>
        </w:rPr>
        <w:t>en su Observación General No. 3 (</w:t>
      </w:r>
      <w:r w:rsidR="000838E1" w:rsidRPr="00751774">
        <w:rPr>
          <w:rFonts w:ascii="Verdana" w:hAnsi="Verdana"/>
          <w:i/>
          <w:sz w:val="20"/>
          <w:szCs w:val="20"/>
        </w:rPr>
        <w:t>supra</w:t>
      </w:r>
      <w:r w:rsidR="000838E1" w:rsidRPr="00751774">
        <w:rPr>
          <w:rFonts w:ascii="Verdana" w:hAnsi="Verdana"/>
          <w:sz w:val="20"/>
          <w:szCs w:val="20"/>
        </w:rPr>
        <w:t>, párr.</w:t>
      </w:r>
      <w:r w:rsidR="00751774">
        <w:rPr>
          <w:rFonts w:ascii="Verdana" w:hAnsi="Verdana"/>
          <w:sz w:val="20"/>
          <w:szCs w:val="20"/>
        </w:rPr>
        <w:t xml:space="preserve"> </w:t>
      </w:r>
      <w:r w:rsidR="000838E1" w:rsidRPr="00751774">
        <w:rPr>
          <w:rFonts w:ascii="Verdana" w:hAnsi="Verdana"/>
          <w:sz w:val="20"/>
          <w:szCs w:val="20"/>
        </w:rPr>
        <w:t>77)</w:t>
      </w:r>
      <w:r w:rsidR="00454C7F" w:rsidRPr="00751774">
        <w:rPr>
          <w:rFonts w:ascii="Verdana" w:hAnsi="Verdana"/>
          <w:sz w:val="20"/>
          <w:szCs w:val="20"/>
        </w:rPr>
        <w:t>:</w:t>
      </w:r>
      <w:r w:rsidR="00454C7F" w:rsidRPr="005A4DF1">
        <w:rPr>
          <w:rFonts w:ascii="Verdana" w:hAnsi="Verdana"/>
          <w:sz w:val="20"/>
          <w:szCs w:val="20"/>
        </w:rPr>
        <w:t xml:space="preserve"> “[e]</w:t>
      </w:r>
      <w:r w:rsidR="00454C7F" w:rsidRPr="005A4DF1">
        <w:rPr>
          <w:rFonts w:ascii="Verdana" w:hAnsi="Verdana" w:cs="Arial"/>
          <w:sz w:val="20"/>
          <w:szCs w:val="20"/>
          <w:lang w:val="es-ES"/>
        </w:rPr>
        <w:t xml:space="preserve">l concepto de progresiva efectividad constituye un reconocimiento del hecho de que la plena efectividad de todos los derechos económicos, sociales y culturales en general no podrá lograrse en un breve período de tiempo”, y hay por tanto una diferencia en cuanto al resto de los derechos, en que, sin perjuicio de que en la situación fáctica dada en un Estado puedan no verse plenamente satisfechos, existe una “obligación </w:t>
      </w:r>
      <w:r w:rsidR="00454C7F" w:rsidRPr="005A4DF1">
        <w:rPr>
          <w:rFonts w:ascii="Verdana" w:hAnsi="Verdana" w:cs="Arial"/>
          <w:i/>
          <w:sz w:val="20"/>
          <w:szCs w:val="20"/>
          <w:lang w:val="es-ES"/>
        </w:rPr>
        <w:t xml:space="preserve">inmediata </w:t>
      </w:r>
      <w:r w:rsidR="00454C7F" w:rsidRPr="005A4DF1">
        <w:rPr>
          <w:rFonts w:ascii="Verdana" w:hAnsi="Verdana" w:cs="Arial"/>
          <w:sz w:val="20"/>
          <w:szCs w:val="20"/>
          <w:lang w:val="es-ES"/>
        </w:rPr>
        <w:t>de r</w:t>
      </w:r>
      <w:r w:rsidR="00FD523C">
        <w:rPr>
          <w:rFonts w:ascii="Verdana" w:hAnsi="Verdana" w:cs="Arial"/>
          <w:sz w:val="20"/>
          <w:szCs w:val="20"/>
          <w:lang w:val="es-ES"/>
        </w:rPr>
        <w:t xml:space="preserve">espetar[los] y garantizar[los]” </w:t>
      </w:r>
      <w:r w:rsidR="00454C7F" w:rsidRPr="005A4DF1">
        <w:rPr>
          <w:rFonts w:ascii="Verdana" w:hAnsi="Verdana" w:cs="Arial"/>
          <w:sz w:val="20"/>
          <w:szCs w:val="20"/>
          <w:lang w:val="es-ES"/>
        </w:rPr>
        <w:t xml:space="preserve">plenamente (énfasis añadido). </w:t>
      </w:r>
    </w:p>
    <w:p w14:paraId="1E70646C" w14:textId="77777777" w:rsidR="00454C7F" w:rsidRPr="005A4DF1" w:rsidRDefault="00454C7F" w:rsidP="00454C7F">
      <w:pPr>
        <w:pStyle w:val="ListParagraph"/>
        <w:ind w:left="0"/>
        <w:contextualSpacing w:val="0"/>
        <w:jc w:val="both"/>
        <w:rPr>
          <w:rFonts w:ascii="Verdana" w:hAnsi="Verdana" w:cs="Arial"/>
          <w:sz w:val="20"/>
          <w:szCs w:val="20"/>
          <w:lang w:val="es-ES"/>
        </w:rPr>
      </w:pPr>
    </w:p>
    <w:p w14:paraId="58C941CC" w14:textId="2516F3A6" w:rsidR="00454C7F" w:rsidRPr="005A4DF1" w:rsidRDefault="00790894" w:rsidP="00454C7F">
      <w:pPr>
        <w:pStyle w:val="ListParagraph"/>
        <w:ind w:left="0"/>
        <w:contextualSpacing w:val="0"/>
        <w:jc w:val="both"/>
        <w:rPr>
          <w:rFonts w:ascii="Verdana" w:hAnsi="Verdana" w:cs="Arial"/>
          <w:sz w:val="20"/>
          <w:szCs w:val="20"/>
          <w:lang w:val="es-ES"/>
        </w:rPr>
      </w:pPr>
      <w:r>
        <w:rPr>
          <w:rFonts w:ascii="Verdana" w:hAnsi="Verdana" w:cs="Arial"/>
          <w:sz w:val="20"/>
          <w:szCs w:val="20"/>
          <w:lang w:val="es-ES"/>
        </w:rPr>
        <w:t>89</w:t>
      </w:r>
      <w:r w:rsidR="00454C7F" w:rsidRPr="005A4DF1">
        <w:rPr>
          <w:rFonts w:ascii="Verdana" w:hAnsi="Verdana" w:cs="Arial"/>
          <w:sz w:val="20"/>
          <w:szCs w:val="20"/>
          <w:lang w:val="es-ES"/>
        </w:rPr>
        <w:t>.</w:t>
      </w:r>
      <w:r w:rsidR="00454C7F" w:rsidRPr="005A4DF1">
        <w:rPr>
          <w:rFonts w:ascii="Verdana" w:hAnsi="Verdana" w:cs="Arial"/>
          <w:sz w:val="20"/>
          <w:szCs w:val="20"/>
          <w:lang w:val="es-ES"/>
        </w:rPr>
        <w:tab/>
        <w:t>De ese modo, en relación a los denominados derechos económicos, sociales y culturales, aun rigiendo respecto de ellos las mismas obligaciones que en relación a los derechos llamados civiles y políticos, un Estado podría válidamente argüir que determinados aspectos del contenido de aquellos derechos no se encuentran todavía, en un momento dado, plenamente efectivizados y, de acuerdo a las circunstancias del caso, evitar que se declare su responsabilidad. Lo contrario ocurre con los derechos civiles y políticos, respecto a los que, independientemente de la situación fáctica existente en un país en un momento dado, en ningún caso el Estado podrá soslayar su responsabilidad argumentando que todavía no ha podido lograr la plena efectividad</w:t>
      </w:r>
      <w:r w:rsidR="00454C7F" w:rsidRPr="005A4DF1">
        <w:rPr>
          <w:rStyle w:val="FootnoteReference"/>
          <w:rFonts w:ascii="Verdana" w:hAnsi="Verdana"/>
          <w:sz w:val="20"/>
          <w:szCs w:val="20"/>
          <w:lang w:val="es-ES"/>
        </w:rPr>
        <w:footnoteReference w:id="107"/>
      </w:r>
      <w:r w:rsidR="00454C7F" w:rsidRPr="005A4DF1">
        <w:rPr>
          <w:rFonts w:ascii="Verdana" w:hAnsi="Verdana" w:cs="Arial"/>
          <w:sz w:val="20"/>
          <w:szCs w:val="20"/>
          <w:lang w:val="es-ES"/>
        </w:rPr>
        <w:t xml:space="preserve">. </w:t>
      </w:r>
    </w:p>
    <w:p w14:paraId="3BEE22A6" w14:textId="77777777" w:rsidR="00454C7F" w:rsidRPr="005A4DF1" w:rsidRDefault="00454C7F" w:rsidP="00454C7F">
      <w:pPr>
        <w:pStyle w:val="ListParagraph"/>
        <w:ind w:left="0"/>
        <w:contextualSpacing w:val="0"/>
        <w:jc w:val="both"/>
        <w:rPr>
          <w:rFonts w:ascii="Verdana" w:hAnsi="Verdana" w:cs="Arial"/>
          <w:sz w:val="20"/>
          <w:szCs w:val="20"/>
          <w:lang w:val="es-ES"/>
        </w:rPr>
      </w:pPr>
    </w:p>
    <w:p w14:paraId="58A002C4" w14:textId="77777777" w:rsidR="00790894" w:rsidRDefault="00790894" w:rsidP="00454C7F">
      <w:pPr>
        <w:pStyle w:val="ListParagraph"/>
        <w:ind w:left="0"/>
        <w:contextualSpacing w:val="0"/>
        <w:jc w:val="both"/>
        <w:rPr>
          <w:rFonts w:ascii="Verdana" w:hAnsi="Verdana" w:cs="Arial"/>
          <w:sz w:val="20"/>
          <w:szCs w:val="20"/>
          <w:lang w:val="es-ES"/>
        </w:rPr>
      </w:pPr>
      <w:r>
        <w:rPr>
          <w:rFonts w:ascii="Verdana" w:hAnsi="Verdana" w:cs="Arial"/>
          <w:sz w:val="20"/>
          <w:szCs w:val="20"/>
          <w:lang w:val="es-ES"/>
        </w:rPr>
        <w:t>90</w:t>
      </w:r>
      <w:r w:rsidR="00454C7F" w:rsidRPr="005A4DF1">
        <w:rPr>
          <w:rFonts w:ascii="Verdana" w:hAnsi="Verdana" w:cs="Arial"/>
          <w:sz w:val="20"/>
          <w:szCs w:val="20"/>
          <w:lang w:val="es-ES"/>
        </w:rPr>
        <w:t>.</w:t>
      </w:r>
      <w:r w:rsidR="00454C7F" w:rsidRPr="005A4DF1">
        <w:rPr>
          <w:rFonts w:ascii="Verdana" w:hAnsi="Verdana" w:cs="Arial"/>
          <w:sz w:val="20"/>
          <w:szCs w:val="20"/>
          <w:lang w:val="es-ES"/>
        </w:rPr>
        <w:tab/>
        <w:t>Ahora bien, lo anterior no priva en modo alguno a los derechos económicos, sociales y culturales de la posibilidad de que su observancia sea analizada judicial</w:t>
      </w:r>
      <w:r w:rsidR="00872450">
        <w:rPr>
          <w:rFonts w:ascii="Verdana" w:hAnsi="Verdana" w:cs="Arial"/>
          <w:sz w:val="20"/>
          <w:szCs w:val="20"/>
          <w:lang w:val="es-ES"/>
        </w:rPr>
        <w:t>me</w:t>
      </w:r>
      <w:r w:rsidR="00454C7F" w:rsidRPr="005A4DF1">
        <w:rPr>
          <w:rFonts w:ascii="Verdana" w:hAnsi="Verdana" w:cs="Arial"/>
          <w:sz w:val="20"/>
          <w:szCs w:val="20"/>
          <w:lang w:val="es-ES"/>
        </w:rPr>
        <w:t xml:space="preserve">nte. </w:t>
      </w:r>
      <w:r w:rsidR="00872450">
        <w:rPr>
          <w:rFonts w:ascii="Verdana" w:hAnsi="Verdana" w:cs="Arial"/>
          <w:sz w:val="20"/>
          <w:szCs w:val="20"/>
          <w:lang w:val="es-ES"/>
        </w:rPr>
        <w:t>El Tribunal Interamericano</w:t>
      </w:r>
      <w:r w:rsidR="00454C7F" w:rsidRPr="005A4DF1">
        <w:rPr>
          <w:rFonts w:ascii="Verdana" w:hAnsi="Verdana" w:cs="Arial"/>
          <w:sz w:val="20"/>
          <w:szCs w:val="20"/>
          <w:lang w:val="es-ES"/>
        </w:rPr>
        <w:t xml:space="preserve">, a partir de su competencia y de las obligaciones estatuidas en los artículos 1.1, 2 y 26, puede examinar la observancia de las mismas. </w:t>
      </w:r>
    </w:p>
    <w:p w14:paraId="7586212E" w14:textId="77777777" w:rsidR="00790894" w:rsidRDefault="00790894" w:rsidP="00454C7F">
      <w:pPr>
        <w:pStyle w:val="ListParagraph"/>
        <w:ind w:left="0"/>
        <w:contextualSpacing w:val="0"/>
        <w:jc w:val="both"/>
        <w:rPr>
          <w:rFonts w:ascii="Verdana" w:hAnsi="Verdana" w:cs="Arial"/>
          <w:sz w:val="20"/>
          <w:szCs w:val="20"/>
          <w:lang w:val="es-ES"/>
        </w:rPr>
      </w:pPr>
    </w:p>
    <w:p w14:paraId="39B41797" w14:textId="35B3CE95" w:rsidR="00454C7F" w:rsidRPr="005A4DF1" w:rsidRDefault="00790894" w:rsidP="00454C7F">
      <w:pPr>
        <w:pStyle w:val="ListParagraph"/>
        <w:ind w:left="0"/>
        <w:contextualSpacing w:val="0"/>
        <w:jc w:val="both"/>
        <w:rPr>
          <w:rFonts w:ascii="Verdana" w:hAnsi="Verdana"/>
          <w:sz w:val="20"/>
          <w:szCs w:val="20"/>
          <w:lang w:val="es-ES"/>
        </w:rPr>
      </w:pPr>
      <w:r>
        <w:rPr>
          <w:rFonts w:ascii="Verdana" w:hAnsi="Verdana" w:cs="Arial"/>
          <w:sz w:val="20"/>
          <w:szCs w:val="20"/>
          <w:lang w:val="es-ES"/>
        </w:rPr>
        <w:t xml:space="preserve">91. </w:t>
      </w:r>
      <w:r>
        <w:rPr>
          <w:rFonts w:ascii="Verdana" w:hAnsi="Verdana" w:cs="Arial"/>
          <w:sz w:val="20"/>
          <w:szCs w:val="20"/>
          <w:lang w:val="es-ES"/>
        </w:rPr>
        <w:tab/>
      </w:r>
      <w:r w:rsidR="00454C7F" w:rsidRPr="005A4DF1">
        <w:rPr>
          <w:rFonts w:ascii="Verdana" w:hAnsi="Verdana" w:cs="Arial"/>
          <w:sz w:val="20"/>
          <w:szCs w:val="20"/>
          <w:lang w:val="es-ES"/>
        </w:rPr>
        <w:t>En su caso, corresponderá a la Corte</w:t>
      </w:r>
      <w:r w:rsidR="00872450">
        <w:rPr>
          <w:rFonts w:ascii="Verdana" w:hAnsi="Verdana" w:cs="Arial"/>
          <w:sz w:val="20"/>
          <w:szCs w:val="20"/>
          <w:lang w:val="es-ES"/>
        </w:rPr>
        <w:t xml:space="preserve"> IDH</w:t>
      </w:r>
      <w:r w:rsidR="00454C7F" w:rsidRPr="005A4DF1">
        <w:rPr>
          <w:rFonts w:ascii="Verdana" w:hAnsi="Verdana" w:cs="Arial"/>
          <w:sz w:val="20"/>
          <w:szCs w:val="20"/>
          <w:lang w:val="es-ES"/>
        </w:rPr>
        <w:t>, en función de las circunstancias que examine, la prueba y los argumentos que se le presenten, determinar si es válido eximir a un Estado de responsabil</w:t>
      </w:r>
      <w:r w:rsidR="00872450">
        <w:rPr>
          <w:rFonts w:ascii="Verdana" w:hAnsi="Verdana" w:cs="Arial"/>
          <w:sz w:val="20"/>
          <w:szCs w:val="20"/>
          <w:lang w:val="es-ES"/>
        </w:rPr>
        <w:t>i</w:t>
      </w:r>
      <w:r w:rsidR="00454C7F" w:rsidRPr="005A4DF1">
        <w:rPr>
          <w:rFonts w:ascii="Verdana" w:hAnsi="Verdana" w:cs="Arial"/>
          <w:sz w:val="20"/>
          <w:szCs w:val="20"/>
          <w:lang w:val="es-ES"/>
        </w:rPr>
        <w:t xml:space="preserve">dad en función de que respecto a ciertos aspectos atinentes a un derecho su “plena efectividad” no se encuentra lograda en un momento dado. Pero la diferencia aludida entre los distintos derechos, exclusivamente acotada al logro de su “plena efectividad”, en modo alguno redunda en que alguno de los derechos u obligaciones normados en la Convención se encuentre excluido </w:t>
      </w:r>
      <w:r w:rsidR="00454C7F" w:rsidRPr="005A4DF1">
        <w:rPr>
          <w:rFonts w:ascii="Verdana" w:hAnsi="Verdana" w:cs="Arial"/>
          <w:i/>
          <w:sz w:val="20"/>
          <w:szCs w:val="20"/>
          <w:lang w:val="es-ES"/>
        </w:rPr>
        <w:t>a priori</w:t>
      </w:r>
      <w:r w:rsidR="00454C7F" w:rsidRPr="005A4DF1">
        <w:rPr>
          <w:rFonts w:ascii="Verdana" w:hAnsi="Verdana" w:cs="Arial"/>
          <w:sz w:val="20"/>
          <w:szCs w:val="20"/>
          <w:lang w:val="es-ES"/>
        </w:rPr>
        <w:t xml:space="preserve"> de la posibilidad de ser examinados por el Tribunal en el marco de su competencia </w:t>
      </w:r>
      <w:r w:rsidR="00872450">
        <w:rPr>
          <w:rFonts w:ascii="Verdana" w:hAnsi="Verdana" w:cs="Arial"/>
          <w:sz w:val="20"/>
          <w:szCs w:val="20"/>
          <w:lang w:val="es-ES"/>
        </w:rPr>
        <w:t>contenc</w:t>
      </w:r>
      <w:r w:rsidR="00454C7F" w:rsidRPr="005A4DF1">
        <w:rPr>
          <w:rFonts w:ascii="Verdana" w:hAnsi="Verdana" w:cs="Arial"/>
          <w:sz w:val="20"/>
          <w:szCs w:val="20"/>
          <w:lang w:val="es-ES"/>
        </w:rPr>
        <w:t xml:space="preserve">iosa. </w:t>
      </w:r>
    </w:p>
    <w:p w14:paraId="4CF9DB2A" w14:textId="77777777" w:rsidR="00454C7F" w:rsidRPr="005A4DF1" w:rsidRDefault="00454C7F" w:rsidP="00454C7F">
      <w:pPr>
        <w:pStyle w:val="ListParagraph"/>
        <w:ind w:left="0"/>
        <w:contextualSpacing w:val="0"/>
        <w:jc w:val="both"/>
        <w:rPr>
          <w:rFonts w:ascii="Verdana" w:hAnsi="Verdana"/>
          <w:sz w:val="20"/>
          <w:szCs w:val="20"/>
        </w:rPr>
      </w:pPr>
    </w:p>
    <w:p w14:paraId="2859B5E6" w14:textId="7EA722AC" w:rsidR="00454C7F" w:rsidRPr="005A4DF1" w:rsidRDefault="0017580F" w:rsidP="00454C7F">
      <w:pPr>
        <w:pStyle w:val="ListParagraph"/>
        <w:ind w:left="0"/>
        <w:contextualSpacing w:val="0"/>
        <w:jc w:val="both"/>
        <w:rPr>
          <w:rFonts w:ascii="Verdana" w:hAnsi="Verdana"/>
          <w:sz w:val="20"/>
          <w:szCs w:val="20"/>
        </w:rPr>
      </w:pPr>
      <w:r>
        <w:rPr>
          <w:rFonts w:ascii="Verdana" w:hAnsi="Verdana"/>
          <w:sz w:val="20"/>
          <w:szCs w:val="20"/>
        </w:rPr>
        <w:t>92</w:t>
      </w:r>
      <w:r w:rsidR="00454C7F" w:rsidRPr="005A4DF1">
        <w:rPr>
          <w:rFonts w:ascii="Verdana" w:hAnsi="Verdana"/>
          <w:sz w:val="20"/>
          <w:szCs w:val="20"/>
        </w:rPr>
        <w:t>.</w:t>
      </w:r>
      <w:r w:rsidR="00454C7F" w:rsidRPr="005A4DF1">
        <w:rPr>
          <w:rFonts w:ascii="Verdana" w:hAnsi="Verdana"/>
          <w:sz w:val="20"/>
          <w:szCs w:val="20"/>
        </w:rPr>
        <w:tab/>
        <w:t xml:space="preserve">Es por ello que, como ya he advertido en una oportunidad anterior, “los elementos de ‘progresividad’ y de ‘recursos disponibles’ a que alude [el artículo 26 de la Convención no] </w:t>
      </w:r>
      <w:proofErr w:type="spellStart"/>
      <w:r w:rsidR="00454C7F" w:rsidRPr="005A4DF1">
        <w:rPr>
          <w:rFonts w:ascii="Verdana" w:hAnsi="Verdana"/>
          <w:sz w:val="20"/>
          <w:szCs w:val="20"/>
        </w:rPr>
        <w:t>pued</w:t>
      </w:r>
      <w:proofErr w:type="spellEnd"/>
      <w:r w:rsidR="00454C7F" w:rsidRPr="005A4DF1">
        <w:rPr>
          <w:rFonts w:ascii="Verdana" w:hAnsi="Verdana"/>
          <w:sz w:val="20"/>
          <w:szCs w:val="20"/>
        </w:rPr>
        <w:t xml:space="preserve">[e]n configurarse como condicionantes normativos para la </w:t>
      </w:r>
      <w:proofErr w:type="spellStart"/>
      <w:r w:rsidR="00454C7F" w:rsidRPr="005A4DF1">
        <w:rPr>
          <w:rFonts w:ascii="Verdana" w:hAnsi="Verdana"/>
          <w:sz w:val="20"/>
          <w:szCs w:val="20"/>
        </w:rPr>
        <w:t>justiciabilidad</w:t>
      </w:r>
      <w:proofErr w:type="spellEnd"/>
      <w:r w:rsidR="00454C7F" w:rsidRPr="005A4DF1">
        <w:rPr>
          <w:rFonts w:ascii="Verdana" w:hAnsi="Verdana"/>
          <w:sz w:val="20"/>
          <w:szCs w:val="20"/>
        </w:rPr>
        <w:t xml:space="preserve"> de dichos derechos”</w:t>
      </w:r>
      <w:r w:rsidR="00454C7F" w:rsidRPr="005A4DF1">
        <w:rPr>
          <w:rStyle w:val="FootnoteReference"/>
          <w:rFonts w:ascii="Verdana" w:hAnsi="Verdana"/>
          <w:sz w:val="20"/>
          <w:szCs w:val="20"/>
        </w:rPr>
        <w:footnoteReference w:id="108"/>
      </w:r>
      <w:r w:rsidR="00454C7F" w:rsidRPr="005A4DF1">
        <w:rPr>
          <w:rFonts w:ascii="Verdana" w:hAnsi="Verdana"/>
          <w:sz w:val="20"/>
          <w:szCs w:val="20"/>
        </w:rPr>
        <w:t>. Como advertí en la misma ocasión, tales elementos son, en todo caso, “aspectos [de la] implementación” de los derechos. Los mismos pueden en todo caso ser relevantes en relación con la determinación de la responsabilida</w:t>
      </w:r>
      <w:r w:rsidR="008162B7">
        <w:rPr>
          <w:rFonts w:ascii="Verdana" w:hAnsi="Verdana"/>
          <w:sz w:val="20"/>
          <w:szCs w:val="20"/>
        </w:rPr>
        <w:t>d</w:t>
      </w:r>
      <w:r w:rsidR="00454C7F" w:rsidRPr="005A4DF1">
        <w:rPr>
          <w:rFonts w:ascii="Verdana" w:hAnsi="Verdana"/>
          <w:sz w:val="20"/>
          <w:szCs w:val="20"/>
        </w:rPr>
        <w:t xml:space="preserve"> del Estado</w:t>
      </w:r>
      <w:r w:rsidR="00454C7F" w:rsidRPr="005A4DF1">
        <w:rPr>
          <w:rStyle w:val="FootnoteReference"/>
          <w:rFonts w:ascii="Verdana" w:hAnsi="Verdana"/>
          <w:sz w:val="20"/>
          <w:szCs w:val="20"/>
        </w:rPr>
        <w:footnoteReference w:id="109"/>
      </w:r>
      <w:r w:rsidR="00454C7F" w:rsidRPr="005A4DF1">
        <w:rPr>
          <w:rFonts w:ascii="Verdana" w:hAnsi="Verdana"/>
          <w:sz w:val="20"/>
          <w:szCs w:val="20"/>
        </w:rPr>
        <w:t xml:space="preserve">. </w:t>
      </w:r>
    </w:p>
    <w:p w14:paraId="14A3F1A7" w14:textId="77777777" w:rsidR="00454C7F" w:rsidRPr="005A4DF1" w:rsidRDefault="00454C7F" w:rsidP="00454C7F">
      <w:pPr>
        <w:pStyle w:val="ListParagraph"/>
        <w:ind w:left="0"/>
        <w:contextualSpacing w:val="0"/>
        <w:jc w:val="both"/>
        <w:rPr>
          <w:rFonts w:ascii="Verdana" w:hAnsi="Verdana"/>
          <w:sz w:val="20"/>
          <w:szCs w:val="20"/>
        </w:rPr>
      </w:pPr>
    </w:p>
    <w:p w14:paraId="4E7D9967" w14:textId="74832B4E" w:rsidR="002C5F28" w:rsidRDefault="0017580F" w:rsidP="00454C7F">
      <w:pPr>
        <w:pStyle w:val="ListParagraph"/>
        <w:ind w:left="0"/>
        <w:contextualSpacing w:val="0"/>
        <w:jc w:val="both"/>
        <w:rPr>
          <w:rFonts w:ascii="Verdana" w:hAnsi="Verdana"/>
          <w:sz w:val="20"/>
          <w:szCs w:val="20"/>
        </w:rPr>
      </w:pPr>
      <w:r>
        <w:rPr>
          <w:rFonts w:ascii="Verdana" w:hAnsi="Verdana"/>
          <w:sz w:val="20"/>
          <w:szCs w:val="20"/>
        </w:rPr>
        <w:t>93</w:t>
      </w:r>
      <w:r w:rsidR="00454C7F" w:rsidRPr="005A4DF1">
        <w:rPr>
          <w:rFonts w:ascii="Verdana" w:hAnsi="Verdana"/>
          <w:sz w:val="20"/>
          <w:szCs w:val="20"/>
        </w:rPr>
        <w:t>.</w:t>
      </w:r>
      <w:r w:rsidR="00454C7F" w:rsidRPr="005A4DF1">
        <w:rPr>
          <w:rFonts w:ascii="Verdana" w:hAnsi="Verdana"/>
          <w:sz w:val="20"/>
          <w:szCs w:val="20"/>
        </w:rPr>
        <w:tab/>
        <w:t>Por tanto, entiendo que las obligaciones estatales son esencialmente las mismas respecto a cualquier derecho receptado en los artículos 3 a 26 de la Convención</w:t>
      </w:r>
      <w:r w:rsidR="002C5F28">
        <w:rPr>
          <w:rFonts w:ascii="Verdana" w:hAnsi="Verdana"/>
          <w:sz w:val="20"/>
          <w:szCs w:val="20"/>
        </w:rPr>
        <w:t xml:space="preserve"> Americana</w:t>
      </w:r>
      <w:r w:rsidR="00454C7F" w:rsidRPr="005A4DF1">
        <w:rPr>
          <w:rFonts w:ascii="Verdana" w:hAnsi="Verdana"/>
          <w:sz w:val="20"/>
          <w:szCs w:val="20"/>
        </w:rPr>
        <w:t xml:space="preserve">. De este modo, y siendo que, como se ha expuesto, la Corte </w:t>
      </w:r>
      <w:r w:rsidR="00790075">
        <w:rPr>
          <w:rFonts w:ascii="Verdana" w:hAnsi="Verdana"/>
          <w:sz w:val="20"/>
          <w:szCs w:val="20"/>
        </w:rPr>
        <w:t xml:space="preserve">IDH </w:t>
      </w:r>
      <w:r w:rsidR="00454C7F" w:rsidRPr="005A4DF1">
        <w:rPr>
          <w:rFonts w:ascii="Verdana" w:hAnsi="Verdana"/>
          <w:sz w:val="20"/>
          <w:szCs w:val="20"/>
        </w:rPr>
        <w:t xml:space="preserve">tiene competencia en relación al referido artículo 26, todos los derechos son justiciables y las violaciones a los mismos pueden ser determinadas por el Tribunal </w:t>
      </w:r>
      <w:r w:rsidR="008162B7">
        <w:rPr>
          <w:rFonts w:ascii="Verdana" w:hAnsi="Verdana"/>
          <w:sz w:val="20"/>
          <w:szCs w:val="20"/>
        </w:rPr>
        <w:t>Inte</w:t>
      </w:r>
      <w:r w:rsidR="002C5F28">
        <w:rPr>
          <w:rFonts w:ascii="Verdana" w:hAnsi="Verdana"/>
          <w:sz w:val="20"/>
          <w:szCs w:val="20"/>
        </w:rPr>
        <w:t xml:space="preserve">ramericano </w:t>
      </w:r>
      <w:r w:rsidR="00454C7F" w:rsidRPr="005A4DF1">
        <w:rPr>
          <w:rFonts w:ascii="Verdana" w:hAnsi="Verdana"/>
          <w:sz w:val="20"/>
          <w:szCs w:val="20"/>
        </w:rPr>
        <w:t xml:space="preserve">en el marco de su competencia contenciosa. </w:t>
      </w:r>
    </w:p>
    <w:p w14:paraId="4372D14B" w14:textId="77777777" w:rsidR="002C5F28" w:rsidRPr="005A4DF1" w:rsidRDefault="002C5F28" w:rsidP="00454C7F">
      <w:pPr>
        <w:pStyle w:val="ListParagraph"/>
        <w:ind w:left="0"/>
        <w:contextualSpacing w:val="0"/>
        <w:jc w:val="both"/>
        <w:rPr>
          <w:rFonts w:ascii="Verdana" w:hAnsi="Verdana"/>
          <w:sz w:val="20"/>
          <w:szCs w:val="20"/>
        </w:rPr>
      </w:pPr>
    </w:p>
    <w:p w14:paraId="2FBA96F7" w14:textId="77777777" w:rsidR="00454C7F" w:rsidRPr="005A4DF1" w:rsidRDefault="00454C7F" w:rsidP="00454C7F">
      <w:pPr>
        <w:pStyle w:val="ListParagraph"/>
        <w:ind w:left="567"/>
        <w:contextualSpacing w:val="0"/>
        <w:jc w:val="both"/>
        <w:rPr>
          <w:rFonts w:ascii="Verdana" w:hAnsi="Verdana"/>
          <w:i/>
          <w:sz w:val="20"/>
          <w:szCs w:val="20"/>
        </w:rPr>
      </w:pPr>
      <w:r w:rsidRPr="005A4DF1">
        <w:rPr>
          <w:rFonts w:ascii="Verdana" w:hAnsi="Verdana"/>
          <w:i/>
          <w:sz w:val="20"/>
          <w:szCs w:val="20"/>
        </w:rPr>
        <w:t>C.2. Particularidades en relación con el desplazamiento forzado</w:t>
      </w:r>
    </w:p>
    <w:p w14:paraId="243E51E8" w14:textId="77777777" w:rsidR="00454C7F" w:rsidRPr="005A4DF1" w:rsidRDefault="00454C7F" w:rsidP="00454C7F">
      <w:pPr>
        <w:pStyle w:val="ListParagraph"/>
        <w:ind w:left="0"/>
        <w:contextualSpacing w:val="0"/>
        <w:jc w:val="both"/>
        <w:rPr>
          <w:rFonts w:ascii="Verdana" w:hAnsi="Verdana"/>
          <w:sz w:val="20"/>
          <w:szCs w:val="20"/>
        </w:rPr>
      </w:pPr>
    </w:p>
    <w:p w14:paraId="05D8F266" w14:textId="38EAE0C1" w:rsidR="00454C7F" w:rsidRPr="005A4DF1" w:rsidRDefault="0017580F" w:rsidP="00454C7F">
      <w:pPr>
        <w:shd w:val="clear" w:color="auto" w:fill="FFFFFF"/>
        <w:jc w:val="both"/>
        <w:rPr>
          <w:rFonts w:ascii="Verdana" w:hAnsi="Verdana"/>
          <w:sz w:val="20"/>
          <w:szCs w:val="20"/>
        </w:rPr>
      </w:pPr>
      <w:r>
        <w:rPr>
          <w:rFonts w:ascii="Verdana" w:hAnsi="Verdana"/>
          <w:sz w:val="20"/>
          <w:szCs w:val="20"/>
        </w:rPr>
        <w:t>94</w:t>
      </w:r>
      <w:r w:rsidR="00454C7F" w:rsidRPr="005A4DF1">
        <w:rPr>
          <w:rFonts w:ascii="Verdana" w:hAnsi="Verdana"/>
          <w:sz w:val="20"/>
          <w:szCs w:val="20"/>
        </w:rPr>
        <w:t>.</w:t>
      </w:r>
      <w:r w:rsidR="00454C7F" w:rsidRPr="005A4DF1">
        <w:rPr>
          <w:rFonts w:ascii="Verdana" w:hAnsi="Verdana"/>
          <w:sz w:val="20"/>
          <w:szCs w:val="20"/>
        </w:rPr>
        <w:tab/>
        <w:t xml:space="preserve">Hay bases para colegir que, en el ámbito del desplazamiento forzado, los deberes estatales relativos al derecho a la vivienda adquieren un matiz específico. </w:t>
      </w:r>
    </w:p>
    <w:p w14:paraId="6ED7E09C" w14:textId="77777777" w:rsidR="00454C7F" w:rsidRPr="005A4DF1" w:rsidRDefault="00454C7F" w:rsidP="00454C7F">
      <w:pPr>
        <w:shd w:val="clear" w:color="auto" w:fill="FFFFFF"/>
        <w:jc w:val="both"/>
        <w:rPr>
          <w:rFonts w:ascii="Verdana" w:hAnsi="Verdana"/>
          <w:sz w:val="20"/>
          <w:szCs w:val="20"/>
        </w:rPr>
      </w:pPr>
    </w:p>
    <w:p w14:paraId="6AD0AB4B" w14:textId="65740727" w:rsidR="00454C7F" w:rsidRPr="005A4DF1" w:rsidRDefault="0017580F" w:rsidP="00454C7F">
      <w:pPr>
        <w:shd w:val="clear" w:color="auto" w:fill="FFFFFF"/>
        <w:jc w:val="both"/>
        <w:rPr>
          <w:rFonts w:ascii="Verdana" w:hAnsi="Verdana"/>
          <w:sz w:val="20"/>
          <w:szCs w:val="20"/>
        </w:rPr>
      </w:pPr>
      <w:r>
        <w:rPr>
          <w:rFonts w:ascii="Verdana" w:hAnsi="Verdana"/>
          <w:sz w:val="20"/>
          <w:szCs w:val="20"/>
        </w:rPr>
        <w:t>95</w:t>
      </w:r>
      <w:r w:rsidR="00454C7F" w:rsidRPr="005A4DF1">
        <w:rPr>
          <w:rFonts w:ascii="Verdana" w:hAnsi="Verdana"/>
          <w:sz w:val="20"/>
          <w:szCs w:val="20"/>
        </w:rPr>
        <w:t>.</w:t>
      </w:r>
      <w:r w:rsidR="00454C7F" w:rsidRPr="005A4DF1">
        <w:rPr>
          <w:rFonts w:ascii="Verdana" w:hAnsi="Verdana"/>
          <w:sz w:val="20"/>
          <w:szCs w:val="20"/>
        </w:rPr>
        <w:tab/>
        <w:t>Al respecto, puede mencionarse la relevancia de los “Principios Rectores de los desplazamientos internos”, adoptados en el ámbito de las Naciones Unidas</w:t>
      </w:r>
      <w:r w:rsidR="00454C7F" w:rsidRPr="005A4DF1">
        <w:rPr>
          <w:rStyle w:val="FootnoteReference"/>
          <w:rFonts w:ascii="Verdana" w:hAnsi="Verdana"/>
          <w:sz w:val="20"/>
          <w:szCs w:val="20"/>
        </w:rPr>
        <w:footnoteReference w:id="110"/>
      </w:r>
      <w:r w:rsidR="00454C7F" w:rsidRPr="005A4DF1">
        <w:rPr>
          <w:rFonts w:ascii="Verdana" w:hAnsi="Verdana"/>
          <w:sz w:val="20"/>
          <w:szCs w:val="20"/>
        </w:rPr>
        <w:t>. El primer inciso del Principio 6 refiere que “[t]</w:t>
      </w:r>
      <w:proofErr w:type="spellStart"/>
      <w:r w:rsidR="00454C7F" w:rsidRPr="005A4DF1">
        <w:rPr>
          <w:rFonts w:ascii="Verdana" w:hAnsi="Verdana"/>
          <w:sz w:val="20"/>
          <w:szCs w:val="20"/>
        </w:rPr>
        <w:t>odo</w:t>
      </w:r>
      <w:proofErr w:type="spellEnd"/>
      <w:r w:rsidR="00454C7F" w:rsidRPr="005A4DF1">
        <w:rPr>
          <w:rFonts w:ascii="Verdana" w:hAnsi="Verdana"/>
          <w:sz w:val="20"/>
          <w:szCs w:val="20"/>
        </w:rPr>
        <w:t xml:space="preserve"> ser humano tendrá derecho a la protección contra desplazamientos arbitrarios que le alejen de su hogar o de su lugar de residencia habitual”. Además el Principio 18, en sus incisos 1 y 2 establece que “[l]os desplazados internos tienen derecho a un nivel de vida adecuado”, y que “[c]</w:t>
      </w:r>
      <w:proofErr w:type="spellStart"/>
      <w:r w:rsidR="00454C7F" w:rsidRPr="005A4DF1">
        <w:rPr>
          <w:rFonts w:ascii="Verdana" w:hAnsi="Verdana"/>
          <w:sz w:val="20"/>
          <w:szCs w:val="20"/>
        </w:rPr>
        <w:t>ualesquiera</w:t>
      </w:r>
      <w:proofErr w:type="spellEnd"/>
      <w:r w:rsidR="00454C7F" w:rsidRPr="005A4DF1">
        <w:rPr>
          <w:rFonts w:ascii="Verdana" w:hAnsi="Verdana"/>
          <w:sz w:val="20"/>
          <w:szCs w:val="20"/>
        </w:rPr>
        <w:t xml:space="preserve"> que sean las circunstancias, las autoridades competentes suministrarán a los desplazados internos, como mínimo y sin discriminación, y se cerciorarán de que pueden recibir en condiciones de seguridad: […] cobijo y alojamiento básicos”. Por otra parte, es pertinente citar los incisos 1 y 3 del Principio 21 que mandan que “[n]</w:t>
      </w:r>
      <w:proofErr w:type="spellStart"/>
      <w:r w:rsidR="00454C7F" w:rsidRPr="005A4DF1">
        <w:rPr>
          <w:rFonts w:ascii="Verdana" w:hAnsi="Verdana"/>
          <w:sz w:val="20"/>
          <w:szCs w:val="20"/>
        </w:rPr>
        <w:t>adie</w:t>
      </w:r>
      <w:proofErr w:type="spellEnd"/>
      <w:r w:rsidR="00454C7F" w:rsidRPr="005A4DF1">
        <w:rPr>
          <w:rFonts w:ascii="Verdana" w:hAnsi="Verdana"/>
          <w:sz w:val="20"/>
          <w:szCs w:val="20"/>
        </w:rPr>
        <w:t xml:space="preserve"> será privado arbitrariamente de su propiedad o sus posesiones” y que “[s]e protegerá la propiedad y las posesiones que hayan abandonado los desplazados internos contra la destrucción y la apropiación, ocupación o uso arbitrarios e ilegales”</w:t>
      </w:r>
      <w:r w:rsidR="00454C7F" w:rsidRPr="005A4DF1">
        <w:rPr>
          <w:rStyle w:val="FootnoteReference"/>
          <w:rFonts w:ascii="Verdana" w:eastAsiaTheme="minorHAnsi" w:hAnsi="Verdana"/>
          <w:sz w:val="20"/>
          <w:szCs w:val="20"/>
          <w:lang w:val="es-CR"/>
        </w:rPr>
        <w:footnoteReference w:id="111"/>
      </w:r>
      <w:r w:rsidR="00454C7F" w:rsidRPr="005A4DF1">
        <w:rPr>
          <w:rFonts w:ascii="Verdana" w:eastAsiaTheme="minorHAnsi" w:hAnsi="Verdana"/>
          <w:sz w:val="20"/>
          <w:szCs w:val="20"/>
          <w:lang w:val="es-CR"/>
        </w:rPr>
        <w:t>.</w:t>
      </w:r>
    </w:p>
    <w:p w14:paraId="6248485E" w14:textId="77777777" w:rsidR="00454C7F" w:rsidRPr="005A4DF1" w:rsidRDefault="00454C7F" w:rsidP="00454C7F">
      <w:pPr>
        <w:shd w:val="clear" w:color="auto" w:fill="FFFFFF"/>
        <w:jc w:val="both"/>
        <w:rPr>
          <w:rFonts w:ascii="Verdana" w:hAnsi="Verdana"/>
          <w:sz w:val="20"/>
          <w:szCs w:val="20"/>
        </w:rPr>
      </w:pPr>
    </w:p>
    <w:p w14:paraId="1DB6355C" w14:textId="46A70C6D" w:rsidR="002C5F28" w:rsidRDefault="0017580F" w:rsidP="00454C7F">
      <w:pPr>
        <w:shd w:val="clear" w:color="auto" w:fill="FFFFFF"/>
        <w:jc w:val="both"/>
        <w:rPr>
          <w:rFonts w:ascii="Verdana" w:hAnsi="Verdana"/>
          <w:sz w:val="20"/>
          <w:szCs w:val="20"/>
        </w:rPr>
      </w:pPr>
      <w:r>
        <w:rPr>
          <w:rFonts w:ascii="Verdana" w:hAnsi="Verdana"/>
          <w:sz w:val="20"/>
          <w:szCs w:val="20"/>
        </w:rPr>
        <w:t>96</w:t>
      </w:r>
      <w:r w:rsidR="00454C7F" w:rsidRPr="005A4DF1">
        <w:rPr>
          <w:rFonts w:ascii="Verdana" w:hAnsi="Verdana"/>
          <w:sz w:val="20"/>
          <w:szCs w:val="20"/>
        </w:rPr>
        <w:t>.</w:t>
      </w:r>
      <w:r w:rsidR="00454C7F" w:rsidRPr="005A4DF1">
        <w:rPr>
          <w:rFonts w:ascii="Verdana" w:hAnsi="Verdana"/>
          <w:sz w:val="20"/>
          <w:szCs w:val="20"/>
        </w:rPr>
        <w:tab/>
        <w:t>Otro documento de Naciones Unidas relevante es el denominado</w:t>
      </w:r>
      <w:r w:rsidR="002C5F28">
        <w:rPr>
          <w:rFonts w:ascii="Verdana" w:hAnsi="Verdana"/>
          <w:sz w:val="20"/>
          <w:szCs w:val="20"/>
        </w:rPr>
        <w:t xml:space="preserve"> </w:t>
      </w:r>
      <w:r w:rsidR="00454C7F" w:rsidRPr="005A4DF1">
        <w:rPr>
          <w:rFonts w:ascii="Verdana" w:hAnsi="Verdana"/>
          <w:sz w:val="20"/>
          <w:szCs w:val="20"/>
        </w:rPr>
        <w:t>“Principios sobre la restitución de las viviendas y el patrimonio de los refugiados y las personas desplazadas”</w:t>
      </w:r>
      <w:r w:rsidR="00454C7F" w:rsidRPr="005A4DF1">
        <w:rPr>
          <w:rStyle w:val="FootnoteReference"/>
          <w:rFonts w:ascii="Verdana" w:hAnsi="Verdana"/>
          <w:sz w:val="20"/>
          <w:szCs w:val="20"/>
        </w:rPr>
        <w:footnoteReference w:id="112"/>
      </w:r>
      <w:r w:rsidR="00454C7F" w:rsidRPr="005A4DF1">
        <w:rPr>
          <w:rFonts w:ascii="Verdana" w:hAnsi="Verdana"/>
          <w:sz w:val="20"/>
          <w:szCs w:val="20"/>
        </w:rPr>
        <w:t xml:space="preserve">. El párrafo 8, ubicado en la sección III, denominada “Principios Generales”, afirma que “Toda persona tiene derecho a una vivienda adecuada”, y que “Los Estados deben adoptar medidas positivas para mejorar la situación de los refugiados y desplazados que no tienen viviendas adecuadas”. El párrafo 5, que se encuentra la misma sección, asevera que “[t]oda persona tiene derecho a que se la proteja de ser desplazada arbitrariamente de su hogar, de sus tierras o de su lugar de residencia habitual. […] Los Estados adoptarán medidas para garantizar que nadie sea sometido al desplazamiento por agentes estatales o no estatales. Los Estados velarán asimismo por que los individuos, las empresas y demás entidades que se encuentren dentro de su jurisdicción legal o bajo su control efectivo se abstengan de realizar desplazamientos o de participar en ellos de algún otro modo”. </w:t>
      </w:r>
    </w:p>
    <w:p w14:paraId="4AAE20F4" w14:textId="77777777" w:rsidR="002C5F28" w:rsidRDefault="002C5F28" w:rsidP="00454C7F">
      <w:pPr>
        <w:shd w:val="clear" w:color="auto" w:fill="FFFFFF"/>
        <w:jc w:val="both"/>
        <w:rPr>
          <w:rFonts w:ascii="Verdana" w:hAnsi="Verdana"/>
          <w:sz w:val="20"/>
          <w:szCs w:val="20"/>
        </w:rPr>
      </w:pPr>
    </w:p>
    <w:p w14:paraId="0A0D1C30" w14:textId="513FE5D3" w:rsidR="00454C7F" w:rsidRPr="005A4DF1" w:rsidRDefault="0017580F" w:rsidP="00454C7F">
      <w:pPr>
        <w:shd w:val="clear" w:color="auto" w:fill="FFFFFF"/>
        <w:jc w:val="both"/>
        <w:rPr>
          <w:rFonts w:ascii="Verdana" w:hAnsi="Verdana"/>
          <w:sz w:val="20"/>
          <w:szCs w:val="20"/>
        </w:rPr>
      </w:pPr>
      <w:r>
        <w:rPr>
          <w:rFonts w:ascii="Verdana" w:hAnsi="Verdana"/>
          <w:sz w:val="20"/>
          <w:szCs w:val="20"/>
        </w:rPr>
        <w:t>97</w:t>
      </w:r>
      <w:r w:rsidR="002C5F28">
        <w:rPr>
          <w:rFonts w:ascii="Verdana" w:hAnsi="Verdana"/>
          <w:sz w:val="20"/>
          <w:szCs w:val="20"/>
        </w:rPr>
        <w:t xml:space="preserve">. </w:t>
      </w:r>
      <w:r w:rsidR="002C5F28">
        <w:rPr>
          <w:rFonts w:ascii="Verdana" w:hAnsi="Verdana"/>
          <w:sz w:val="20"/>
          <w:szCs w:val="20"/>
        </w:rPr>
        <w:tab/>
      </w:r>
      <w:r w:rsidR="00454C7F" w:rsidRPr="005A4DF1">
        <w:rPr>
          <w:rFonts w:ascii="Verdana" w:hAnsi="Verdana"/>
          <w:sz w:val="20"/>
          <w:szCs w:val="20"/>
        </w:rPr>
        <w:t>Por otra parte, el segundo apartado del documento señala que “[e]l derecho a la restitución de las viviendas, las tierras y el patrimonio es un derecho en sí mismo y es independiente de que se haga o no efectivo el regreso de los refugiados y desplazados a quienes les asista ese derecho”. También señala que el derecho se refiere a “viviendas”, “tierras” y “patrimonio” del que “hayan sido privados arbitraria o ilegalmente”, y que puede ser satisfecho por la “</w:t>
      </w:r>
      <w:proofErr w:type="spellStart"/>
      <w:proofErr w:type="gramStart"/>
      <w:r w:rsidR="00454C7F" w:rsidRPr="005A4DF1">
        <w:rPr>
          <w:rFonts w:ascii="Verdana" w:hAnsi="Verdana"/>
          <w:sz w:val="20"/>
          <w:szCs w:val="20"/>
        </w:rPr>
        <w:t>restitu</w:t>
      </w:r>
      <w:proofErr w:type="spellEnd"/>
      <w:r w:rsidR="00454C7F" w:rsidRPr="005A4DF1">
        <w:rPr>
          <w:rFonts w:ascii="Verdana" w:hAnsi="Verdana"/>
          <w:sz w:val="20"/>
          <w:szCs w:val="20"/>
        </w:rPr>
        <w:t>[</w:t>
      </w:r>
      <w:proofErr w:type="spellStart"/>
      <w:proofErr w:type="gramEnd"/>
      <w:r w:rsidR="00454C7F" w:rsidRPr="005A4DF1">
        <w:rPr>
          <w:rFonts w:ascii="Verdana" w:hAnsi="Verdana"/>
          <w:sz w:val="20"/>
          <w:szCs w:val="20"/>
        </w:rPr>
        <w:t>ción</w:t>
      </w:r>
      <w:proofErr w:type="spellEnd"/>
      <w:r w:rsidR="00454C7F" w:rsidRPr="005A4DF1">
        <w:rPr>
          <w:rFonts w:ascii="Verdana" w:hAnsi="Verdana"/>
          <w:sz w:val="20"/>
          <w:szCs w:val="20"/>
        </w:rPr>
        <w:t>]” o por la “</w:t>
      </w:r>
      <w:proofErr w:type="spellStart"/>
      <w:r w:rsidR="00454C7F" w:rsidRPr="005A4DF1">
        <w:rPr>
          <w:rFonts w:ascii="Verdana" w:hAnsi="Verdana"/>
          <w:sz w:val="20"/>
          <w:szCs w:val="20"/>
        </w:rPr>
        <w:t>indemni</w:t>
      </w:r>
      <w:proofErr w:type="spellEnd"/>
      <w:r w:rsidR="00454C7F" w:rsidRPr="005A4DF1">
        <w:rPr>
          <w:rFonts w:ascii="Verdana" w:hAnsi="Verdana"/>
          <w:sz w:val="20"/>
          <w:szCs w:val="20"/>
        </w:rPr>
        <w:t>[</w:t>
      </w:r>
      <w:proofErr w:type="spellStart"/>
      <w:r w:rsidR="00454C7F" w:rsidRPr="005A4DF1">
        <w:rPr>
          <w:rFonts w:ascii="Verdana" w:hAnsi="Verdana"/>
          <w:sz w:val="20"/>
          <w:szCs w:val="20"/>
        </w:rPr>
        <w:t>zación</w:t>
      </w:r>
      <w:proofErr w:type="spellEnd"/>
      <w:r w:rsidR="00454C7F" w:rsidRPr="005A4DF1">
        <w:rPr>
          <w:rFonts w:ascii="Verdana" w:hAnsi="Verdana"/>
          <w:sz w:val="20"/>
          <w:szCs w:val="20"/>
        </w:rPr>
        <w:t>], por aclara</w:t>
      </w:r>
      <w:r w:rsidR="00F52730">
        <w:rPr>
          <w:rFonts w:ascii="Verdana" w:hAnsi="Verdana"/>
          <w:sz w:val="20"/>
          <w:szCs w:val="20"/>
        </w:rPr>
        <w:t>r</w:t>
      </w:r>
      <w:r w:rsidR="00454C7F" w:rsidRPr="005A4DF1">
        <w:rPr>
          <w:rFonts w:ascii="Verdana" w:hAnsi="Verdana"/>
          <w:sz w:val="20"/>
          <w:szCs w:val="20"/>
        </w:rPr>
        <w:t xml:space="preserve"> que “[l]os Estados darán prioridad de forma manifiesta al derecho de restitución”. </w:t>
      </w:r>
    </w:p>
    <w:p w14:paraId="31B805CB" w14:textId="77777777" w:rsidR="00402B34" w:rsidRPr="005A4DF1" w:rsidRDefault="00402B34" w:rsidP="00454C7F">
      <w:pPr>
        <w:jc w:val="both"/>
        <w:rPr>
          <w:rFonts w:ascii="Verdana" w:hAnsi="Verdana"/>
          <w:sz w:val="20"/>
          <w:szCs w:val="20"/>
        </w:rPr>
      </w:pPr>
    </w:p>
    <w:p w14:paraId="78A4B42C" w14:textId="29BDF258" w:rsidR="00904F99" w:rsidRPr="00577115" w:rsidRDefault="00904F99" w:rsidP="00577115">
      <w:pPr>
        <w:ind w:left="708"/>
        <w:jc w:val="both"/>
        <w:rPr>
          <w:rFonts w:ascii="Verdana" w:hAnsi="Verdana"/>
          <w:sz w:val="20"/>
          <w:szCs w:val="20"/>
          <w:u w:val="single"/>
        </w:rPr>
      </w:pPr>
      <w:r>
        <w:rPr>
          <w:rFonts w:ascii="Verdana" w:hAnsi="Verdana"/>
          <w:sz w:val="20"/>
          <w:szCs w:val="20"/>
        </w:rPr>
        <w:t xml:space="preserve">D. </w:t>
      </w:r>
      <w:r w:rsidRPr="00577115">
        <w:rPr>
          <w:rFonts w:ascii="Verdana" w:hAnsi="Verdana"/>
          <w:sz w:val="20"/>
          <w:szCs w:val="20"/>
          <w:u w:val="single"/>
        </w:rPr>
        <w:t xml:space="preserve">Corolario: el </w:t>
      </w:r>
      <w:r w:rsidRPr="00577115">
        <w:rPr>
          <w:rFonts w:ascii="Verdana" w:hAnsi="Verdana"/>
          <w:i/>
          <w:sz w:val="20"/>
          <w:szCs w:val="20"/>
          <w:u w:val="single"/>
        </w:rPr>
        <w:t>derecho a la vivienda</w:t>
      </w:r>
      <w:r w:rsidRPr="00577115">
        <w:rPr>
          <w:rFonts w:ascii="Verdana" w:hAnsi="Verdana"/>
          <w:sz w:val="20"/>
          <w:szCs w:val="20"/>
          <w:u w:val="single"/>
        </w:rPr>
        <w:t xml:space="preserve"> contenido en el artículo 26 del Pacto de San José</w:t>
      </w:r>
    </w:p>
    <w:p w14:paraId="61A0FBCF" w14:textId="77777777" w:rsidR="00904F99" w:rsidRDefault="00904F99" w:rsidP="00904F99">
      <w:pPr>
        <w:jc w:val="both"/>
        <w:rPr>
          <w:rFonts w:ascii="Verdana" w:hAnsi="Verdana"/>
          <w:sz w:val="20"/>
          <w:szCs w:val="20"/>
        </w:rPr>
      </w:pPr>
    </w:p>
    <w:p w14:paraId="3763526C" w14:textId="6513A3F7" w:rsidR="00D441CB" w:rsidRPr="005A4DF1" w:rsidRDefault="0017580F" w:rsidP="00D441CB">
      <w:pPr>
        <w:pStyle w:val="Estilo4"/>
        <w:numPr>
          <w:ilvl w:val="0"/>
          <w:numId w:val="0"/>
        </w:numPr>
        <w:spacing w:after="0"/>
        <w:jc w:val="both"/>
        <w:rPr>
          <w:rFonts w:ascii="Verdana" w:hAnsi="Verdana"/>
          <w:i/>
          <w:sz w:val="20"/>
          <w:szCs w:val="20"/>
        </w:rPr>
      </w:pPr>
      <w:r>
        <w:rPr>
          <w:rFonts w:ascii="Verdana" w:eastAsia="Arial Unicode MS" w:hAnsi="Verdana" w:cs="Arial Unicode MS"/>
          <w:sz w:val="20"/>
          <w:szCs w:val="20"/>
          <w:lang w:val="es-ES_tradnl"/>
        </w:rPr>
        <w:t>98</w:t>
      </w:r>
      <w:r w:rsidR="00904F99">
        <w:rPr>
          <w:rFonts w:ascii="Verdana" w:eastAsia="Arial Unicode MS" w:hAnsi="Verdana" w:cs="Arial Unicode MS"/>
          <w:sz w:val="20"/>
          <w:szCs w:val="20"/>
          <w:lang w:val="es-ES_tradnl"/>
        </w:rPr>
        <w:t>.</w:t>
      </w:r>
      <w:r w:rsidR="00D441CB" w:rsidRPr="005A4DF1">
        <w:rPr>
          <w:rFonts w:ascii="Verdana" w:hAnsi="Verdana"/>
          <w:sz w:val="20"/>
          <w:szCs w:val="20"/>
        </w:rPr>
        <w:t xml:space="preserve"> </w:t>
      </w:r>
      <w:r>
        <w:rPr>
          <w:rFonts w:ascii="Verdana" w:hAnsi="Verdana"/>
          <w:sz w:val="20"/>
          <w:szCs w:val="20"/>
        </w:rPr>
        <w:tab/>
      </w:r>
      <w:r w:rsidR="00D441CB" w:rsidRPr="005A4DF1">
        <w:rPr>
          <w:rFonts w:ascii="Verdana" w:hAnsi="Verdana"/>
          <w:sz w:val="20"/>
          <w:szCs w:val="20"/>
        </w:rPr>
        <w:t xml:space="preserve">Como se había mencionado, </w:t>
      </w:r>
      <w:r w:rsidR="001C42D9">
        <w:rPr>
          <w:rFonts w:ascii="Verdana" w:hAnsi="Verdana"/>
          <w:sz w:val="20"/>
          <w:szCs w:val="20"/>
        </w:rPr>
        <w:t xml:space="preserve">el </w:t>
      </w:r>
      <w:r w:rsidR="001C42D9" w:rsidRPr="00B95968">
        <w:rPr>
          <w:rFonts w:ascii="Verdana" w:hAnsi="Verdana"/>
          <w:i/>
          <w:sz w:val="20"/>
          <w:szCs w:val="20"/>
        </w:rPr>
        <w:t>derecho a la vivienda</w:t>
      </w:r>
      <w:r w:rsidR="001C42D9">
        <w:rPr>
          <w:rFonts w:ascii="Verdana" w:hAnsi="Verdana"/>
          <w:sz w:val="20"/>
          <w:szCs w:val="20"/>
        </w:rPr>
        <w:t xml:space="preserve"> no se encuentra en el </w:t>
      </w:r>
      <w:r w:rsidR="00D441CB" w:rsidRPr="005A4DF1">
        <w:rPr>
          <w:rFonts w:ascii="Verdana" w:hAnsi="Verdana"/>
          <w:sz w:val="20"/>
          <w:szCs w:val="20"/>
        </w:rPr>
        <w:t xml:space="preserve">Protocolo de </w:t>
      </w:r>
      <w:r w:rsidR="001C42D9">
        <w:rPr>
          <w:rFonts w:ascii="Verdana" w:hAnsi="Verdana"/>
          <w:sz w:val="20"/>
          <w:szCs w:val="20"/>
        </w:rPr>
        <w:t>San Salvador</w:t>
      </w:r>
      <w:r w:rsidR="00FD523C">
        <w:rPr>
          <w:rFonts w:ascii="Verdana" w:hAnsi="Verdana"/>
          <w:sz w:val="20"/>
          <w:szCs w:val="20"/>
        </w:rPr>
        <w:t xml:space="preserve"> (</w:t>
      </w:r>
      <w:r w:rsidR="00FD523C" w:rsidRPr="00FD523C">
        <w:rPr>
          <w:rFonts w:ascii="Verdana" w:hAnsi="Verdana"/>
          <w:i/>
          <w:sz w:val="20"/>
          <w:szCs w:val="20"/>
        </w:rPr>
        <w:t>supra</w:t>
      </w:r>
      <w:r w:rsidR="00FD523C">
        <w:rPr>
          <w:rFonts w:ascii="Verdana" w:hAnsi="Verdana"/>
          <w:sz w:val="20"/>
          <w:szCs w:val="20"/>
        </w:rPr>
        <w:t xml:space="preserve"> </w:t>
      </w:r>
      <w:proofErr w:type="spellStart"/>
      <w:r w:rsidR="00FD523C">
        <w:rPr>
          <w:rFonts w:ascii="Verdana" w:hAnsi="Verdana"/>
          <w:sz w:val="20"/>
          <w:szCs w:val="20"/>
        </w:rPr>
        <w:t>párrs</w:t>
      </w:r>
      <w:proofErr w:type="spellEnd"/>
      <w:r w:rsidR="00FD523C">
        <w:rPr>
          <w:rFonts w:ascii="Verdana" w:hAnsi="Verdana"/>
          <w:sz w:val="20"/>
          <w:szCs w:val="20"/>
        </w:rPr>
        <w:t>. 5, 28 y 54)</w:t>
      </w:r>
      <w:r w:rsidR="001C42D9">
        <w:rPr>
          <w:rFonts w:ascii="Verdana" w:hAnsi="Verdana"/>
          <w:sz w:val="20"/>
          <w:szCs w:val="20"/>
        </w:rPr>
        <w:t xml:space="preserve">. Lo anterior </w:t>
      </w:r>
      <w:r w:rsidR="00D441CB" w:rsidRPr="005A4DF1">
        <w:rPr>
          <w:rFonts w:ascii="Verdana" w:hAnsi="Verdana"/>
          <w:sz w:val="20"/>
          <w:szCs w:val="20"/>
        </w:rPr>
        <w:t>pareciera crear una desprotección, al advertirse como un</w:t>
      </w:r>
      <w:r w:rsidR="00D441CB" w:rsidRPr="005A4DF1">
        <w:rPr>
          <w:rFonts w:ascii="Verdana" w:hAnsi="Verdana"/>
          <w:i/>
          <w:sz w:val="20"/>
          <w:szCs w:val="20"/>
        </w:rPr>
        <w:t xml:space="preserve"> derecho ausente</w:t>
      </w:r>
      <w:r w:rsidR="00D441CB" w:rsidRPr="005A4DF1">
        <w:rPr>
          <w:rFonts w:ascii="Verdana" w:hAnsi="Verdana"/>
          <w:sz w:val="20"/>
          <w:szCs w:val="20"/>
        </w:rPr>
        <w:t xml:space="preserve"> en los instrumentos interamericanos. </w:t>
      </w:r>
    </w:p>
    <w:p w14:paraId="785DC9EE" w14:textId="77777777" w:rsidR="00D441CB" w:rsidRPr="005A4DF1" w:rsidRDefault="00D441CB" w:rsidP="00D441CB">
      <w:pPr>
        <w:pStyle w:val="ListParagraph"/>
        <w:ind w:left="0"/>
        <w:jc w:val="both"/>
        <w:rPr>
          <w:rFonts w:ascii="Verdana" w:hAnsi="Verdana"/>
          <w:i/>
          <w:sz w:val="20"/>
          <w:szCs w:val="20"/>
        </w:rPr>
      </w:pPr>
    </w:p>
    <w:p w14:paraId="4118A15A" w14:textId="1EFD9F15" w:rsidR="00D441CB" w:rsidRPr="005A4DF1" w:rsidRDefault="0017580F" w:rsidP="001C42D9">
      <w:pPr>
        <w:pStyle w:val="ListParagraph"/>
        <w:ind w:left="0"/>
        <w:jc w:val="both"/>
        <w:rPr>
          <w:rFonts w:ascii="Verdana" w:hAnsi="Verdana"/>
          <w:i/>
          <w:sz w:val="20"/>
          <w:szCs w:val="20"/>
        </w:rPr>
      </w:pPr>
      <w:r>
        <w:rPr>
          <w:rFonts w:ascii="Verdana" w:hAnsi="Verdana"/>
          <w:sz w:val="20"/>
          <w:szCs w:val="20"/>
        </w:rPr>
        <w:t>99</w:t>
      </w:r>
      <w:r w:rsidR="001C42D9">
        <w:rPr>
          <w:rFonts w:ascii="Verdana" w:hAnsi="Verdana"/>
          <w:sz w:val="20"/>
          <w:szCs w:val="20"/>
        </w:rPr>
        <w:t xml:space="preserve">. </w:t>
      </w:r>
      <w:r w:rsidR="001C42D9">
        <w:rPr>
          <w:rFonts w:ascii="Verdana" w:hAnsi="Verdana"/>
          <w:sz w:val="20"/>
          <w:szCs w:val="20"/>
        </w:rPr>
        <w:tab/>
      </w:r>
      <w:r w:rsidR="00D441CB" w:rsidRPr="005A4DF1">
        <w:rPr>
          <w:rFonts w:ascii="Verdana" w:hAnsi="Verdana"/>
          <w:sz w:val="20"/>
          <w:szCs w:val="20"/>
        </w:rPr>
        <w:t>Esta desprotección resulta aparente. En efecto, la Carta</w:t>
      </w:r>
      <w:r w:rsidR="0020045C">
        <w:rPr>
          <w:rFonts w:ascii="Verdana" w:hAnsi="Verdana"/>
          <w:sz w:val="20"/>
          <w:szCs w:val="20"/>
        </w:rPr>
        <w:t xml:space="preserve"> de la OEA</w:t>
      </w:r>
      <w:r w:rsidR="00D441CB" w:rsidRPr="005A4DF1">
        <w:rPr>
          <w:rFonts w:ascii="Verdana" w:hAnsi="Verdana"/>
          <w:sz w:val="20"/>
          <w:szCs w:val="20"/>
        </w:rPr>
        <w:t>, reformada por el Protocolo de Buenos Aires, sí contiene una di</w:t>
      </w:r>
      <w:r w:rsidR="001C42D9">
        <w:rPr>
          <w:rFonts w:ascii="Verdana" w:hAnsi="Verdana"/>
          <w:sz w:val="20"/>
          <w:szCs w:val="20"/>
        </w:rPr>
        <w:t xml:space="preserve">sposición de la cual se puede derivar el </w:t>
      </w:r>
      <w:r w:rsidR="00D441CB" w:rsidRPr="001C42D9">
        <w:rPr>
          <w:rFonts w:ascii="Verdana" w:hAnsi="Verdana"/>
          <w:i/>
          <w:sz w:val="20"/>
          <w:szCs w:val="20"/>
        </w:rPr>
        <w:t>derecho a la vivienda</w:t>
      </w:r>
      <w:r w:rsidR="00D441CB" w:rsidRPr="005A4DF1">
        <w:rPr>
          <w:rFonts w:ascii="Verdana" w:hAnsi="Verdana"/>
          <w:sz w:val="20"/>
          <w:szCs w:val="20"/>
        </w:rPr>
        <w:t xml:space="preserve"> adecuada. En efecto, el artículo 34.k dispone que: </w:t>
      </w:r>
    </w:p>
    <w:p w14:paraId="68F2D721" w14:textId="77777777" w:rsidR="00D441CB" w:rsidRPr="005A4DF1" w:rsidRDefault="00D441CB" w:rsidP="00D441CB">
      <w:pPr>
        <w:jc w:val="both"/>
        <w:rPr>
          <w:rFonts w:ascii="Verdana" w:hAnsi="Verdana"/>
          <w:i/>
          <w:sz w:val="20"/>
          <w:szCs w:val="20"/>
        </w:rPr>
      </w:pPr>
    </w:p>
    <w:p w14:paraId="4733FA3C" w14:textId="77777777" w:rsidR="00D441CB" w:rsidRPr="00B16B13" w:rsidRDefault="00D441CB" w:rsidP="00D441CB">
      <w:pPr>
        <w:pStyle w:val="ListParagraph"/>
        <w:ind w:left="708" w:right="616"/>
        <w:jc w:val="both"/>
        <w:rPr>
          <w:rFonts w:ascii="Verdana" w:hAnsi="Verdana" w:cs="Tahoma"/>
          <w:i/>
          <w:sz w:val="16"/>
          <w:szCs w:val="16"/>
        </w:rPr>
      </w:pPr>
      <w:r w:rsidRPr="00B16B13">
        <w:rPr>
          <w:rFonts w:ascii="Verdana" w:hAnsi="Verdana" w:cs="Tahoma"/>
          <w:i/>
          <w:sz w:val="16"/>
          <w:szCs w:val="16"/>
        </w:rPr>
        <w:t xml:space="preserve">Los Estados miembros convienen en que la igualdad de oportunidades, la eliminación de la pobreza crítica y la distribución equitativa de la riqueza y del ingreso, así como la plena participación de sus pueblos en las decisiones relativas a su propio desarrollo, son, entre </w:t>
      </w:r>
      <w:r w:rsidRPr="00B16B13">
        <w:rPr>
          <w:rFonts w:ascii="Verdana" w:hAnsi="Verdana" w:cs="Tahoma"/>
          <w:i/>
          <w:sz w:val="16"/>
          <w:szCs w:val="16"/>
        </w:rPr>
        <w:lastRenderedPageBreak/>
        <w:t>otros, objetivos básicos del desarrollo integral. Para lograrlos, convienen asimismo en dedicar sus máximos esfuerzos a la consecución de las siguientes metas básicas:</w:t>
      </w:r>
    </w:p>
    <w:p w14:paraId="3013A332" w14:textId="77777777" w:rsidR="00D441CB" w:rsidRPr="00B16B13" w:rsidRDefault="00D441CB" w:rsidP="00D441CB">
      <w:pPr>
        <w:pStyle w:val="ListParagraph"/>
        <w:ind w:left="708"/>
        <w:jc w:val="both"/>
        <w:rPr>
          <w:rFonts w:ascii="Verdana" w:hAnsi="Verdana" w:cs="Tahoma"/>
          <w:i/>
          <w:sz w:val="16"/>
          <w:szCs w:val="16"/>
        </w:rPr>
      </w:pPr>
    </w:p>
    <w:p w14:paraId="7C686F01" w14:textId="77777777" w:rsidR="00D441CB" w:rsidRPr="00B16B13" w:rsidRDefault="00D441CB" w:rsidP="00D441CB">
      <w:pPr>
        <w:pStyle w:val="ListParagraph"/>
        <w:ind w:left="708"/>
        <w:jc w:val="both"/>
        <w:rPr>
          <w:rFonts w:ascii="Verdana" w:hAnsi="Verdana" w:cs="Tahoma"/>
          <w:i/>
          <w:sz w:val="16"/>
          <w:szCs w:val="16"/>
        </w:rPr>
      </w:pPr>
      <w:r w:rsidRPr="00B16B13">
        <w:rPr>
          <w:rFonts w:ascii="Verdana" w:hAnsi="Verdana" w:cs="Tahoma"/>
          <w:i/>
          <w:sz w:val="16"/>
          <w:szCs w:val="16"/>
        </w:rPr>
        <w:t>[…]</w:t>
      </w:r>
    </w:p>
    <w:p w14:paraId="4D778242" w14:textId="77777777" w:rsidR="00D441CB" w:rsidRPr="00B16B13" w:rsidRDefault="00D441CB" w:rsidP="00D441CB">
      <w:pPr>
        <w:pStyle w:val="ListParagraph"/>
        <w:ind w:left="708"/>
        <w:jc w:val="both"/>
        <w:rPr>
          <w:rFonts w:ascii="Verdana" w:hAnsi="Verdana" w:cs="Tahoma"/>
          <w:i/>
          <w:sz w:val="16"/>
          <w:szCs w:val="16"/>
        </w:rPr>
      </w:pPr>
    </w:p>
    <w:p w14:paraId="7CCCF26B" w14:textId="77777777" w:rsidR="00D441CB" w:rsidRPr="00B16B13" w:rsidRDefault="00D441CB" w:rsidP="00D441CB">
      <w:pPr>
        <w:pStyle w:val="ListParagraph"/>
        <w:ind w:left="708"/>
        <w:jc w:val="both"/>
        <w:rPr>
          <w:rFonts w:ascii="Verdana" w:hAnsi="Verdana" w:cs="Tahoma"/>
          <w:sz w:val="16"/>
          <w:szCs w:val="16"/>
          <w:u w:val="single"/>
        </w:rPr>
      </w:pPr>
      <w:r w:rsidRPr="00B16B13">
        <w:rPr>
          <w:rFonts w:ascii="Verdana" w:hAnsi="Verdana" w:cs="Tahoma"/>
          <w:i/>
          <w:sz w:val="16"/>
          <w:szCs w:val="16"/>
          <w:u w:val="single"/>
        </w:rPr>
        <w:t>k) Vivienda adecuada para todos los sectores de la población.</w:t>
      </w:r>
    </w:p>
    <w:p w14:paraId="5D7CE7E8" w14:textId="77777777" w:rsidR="00D441CB" w:rsidRPr="005A4DF1" w:rsidRDefault="00D441CB" w:rsidP="00D441CB">
      <w:pPr>
        <w:jc w:val="both"/>
        <w:rPr>
          <w:rFonts w:ascii="Verdana" w:hAnsi="Verdana"/>
          <w:i/>
          <w:sz w:val="20"/>
          <w:szCs w:val="20"/>
        </w:rPr>
      </w:pPr>
    </w:p>
    <w:p w14:paraId="77E92FE7" w14:textId="35419428" w:rsidR="00904F99" w:rsidRPr="001C42D9" w:rsidRDefault="0017580F" w:rsidP="008F62B8">
      <w:pPr>
        <w:pStyle w:val="ListParagraph"/>
        <w:ind w:left="0"/>
        <w:jc w:val="both"/>
        <w:rPr>
          <w:rFonts w:ascii="Verdana" w:eastAsia="Arial Unicode MS" w:hAnsi="Verdana" w:cs="Arial Unicode MS"/>
          <w:sz w:val="20"/>
          <w:szCs w:val="20"/>
        </w:rPr>
      </w:pPr>
      <w:r>
        <w:rPr>
          <w:rFonts w:ascii="Verdana" w:hAnsi="Verdana"/>
          <w:sz w:val="20"/>
          <w:szCs w:val="20"/>
        </w:rPr>
        <w:t xml:space="preserve">100. </w:t>
      </w:r>
      <w:r>
        <w:rPr>
          <w:rFonts w:ascii="Verdana" w:hAnsi="Verdana"/>
          <w:sz w:val="20"/>
          <w:szCs w:val="20"/>
        </w:rPr>
        <w:tab/>
      </w:r>
      <w:r w:rsidR="00D441CB" w:rsidRPr="001C42D9">
        <w:rPr>
          <w:rFonts w:ascii="Verdana" w:hAnsi="Verdana"/>
          <w:sz w:val="20"/>
          <w:szCs w:val="20"/>
        </w:rPr>
        <w:t>Esta disposición no</w:t>
      </w:r>
      <w:r w:rsidR="001C42D9" w:rsidRPr="001C42D9">
        <w:rPr>
          <w:rFonts w:ascii="Verdana" w:hAnsi="Verdana"/>
          <w:sz w:val="20"/>
          <w:szCs w:val="20"/>
        </w:rPr>
        <w:t xml:space="preserve"> puede leerse de manera aislada, sino en relación con el artículo 26 del Pacto de San José en los términos que he tratado de explicit</w:t>
      </w:r>
      <w:r w:rsidR="00B95968">
        <w:rPr>
          <w:rFonts w:ascii="Verdana" w:hAnsi="Verdana"/>
          <w:sz w:val="20"/>
          <w:szCs w:val="20"/>
        </w:rPr>
        <w:t>ar en el presente voto razonado.</w:t>
      </w:r>
      <w:r w:rsidR="001C42D9" w:rsidRPr="001C42D9">
        <w:rPr>
          <w:rFonts w:ascii="Verdana" w:hAnsi="Verdana"/>
          <w:sz w:val="20"/>
          <w:szCs w:val="20"/>
        </w:rPr>
        <w:t xml:space="preserve"> </w:t>
      </w:r>
      <w:r w:rsidR="00904F99" w:rsidRPr="001C42D9">
        <w:rPr>
          <w:rFonts w:ascii="Verdana" w:eastAsia="Arial Unicode MS" w:hAnsi="Verdana" w:cs="Arial Unicode MS"/>
          <w:sz w:val="20"/>
          <w:szCs w:val="20"/>
        </w:rPr>
        <w:t xml:space="preserve">Como lo he expresado </w:t>
      </w:r>
      <w:r w:rsidR="0020045C">
        <w:rPr>
          <w:rFonts w:ascii="Verdana" w:eastAsia="Arial Unicode MS" w:hAnsi="Verdana" w:cs="Arial Unicode MS"/>
          <w:sz w:val="20"/>
          <w:szCs w:val="20"/>
        </w:rPr>
        <w:t>(</w:t>
      </w:r>
      <w:r w:rsidR="00904F99" w:rsidRPr="001C42D9">
        <w:rPr>
          <w:rFonts w:ascii="Verdana" w:eastAsia="Arial Unicode MS" w:hAnsi="Verdana" w:cs="Arial Unicode MS"/>
          <w:i/>
          <w:sz w:val="20"/>
          <w:szCs w:val="20"/>
        </w:rPr>
        <w:t>supra</w:t>
      </w:r>
      <w:r w:rsidR="0020045C">
        <w:rPr>
          <w:rFonts w:ascii="Verdana" w:eastAsia="Arial Unicode MS" w:hAnsi="Verdana" w:cs="Arial Unicode MS"/>
          <w:sz w:val="20"/>
          <w:szCs w:val="20"/>
        </w:rPr>
        <w:t xml:space="preserve"> </w:t>
      </w:r>
      <w:proofErr w:type="spellStart"/>
      <w:r w:rsidR="00904F99" w:rsidRPr="0020045C">
        <w:rPr>
          <w:rFonts w:ascii="Verdana" w:eastAsia="Arial Unicode MS" w:hAnsi="Verdana" w:cs="Arial Unicode MS"/>
          <w:sz w:val="20"/>
          <w:szCs w:val="20"/>
        </w:rPr>
        <w:t>párrs</w:t>
      </w:r>
      <w:proofErr w:type="spellEnd"/>
      <w:r w:rsidR="00904F99" w:rsidRPr="0020045C">
        <w:rPr>
          <w:rFonts w:ascii="Verdana" w:eastAsia="Arial Unicode MS" w:hAnsi="Verdana" w:cs="Arial Unicode MS"/>
          <w:sz w:val="20"/>
          <w:szCs w:val="20"/>
        </w:rPr>
        <w:t xml:space="preserve">. </w:t>
      </w:r>
      <w:r w:rsidR="0020045C" w:rsidRPr="0020045C">
        <w:rPr>
          <w:rFonts w:ascii="Verdana" w:eastAsia="Arial Unicode MS" w:hAnsi="Verdana" w:cs="Arial Unicode MS"/>
          <w:sz w:val="20"/>
          <w:szCs w:val="20"/>
        </w:rPr>
        <w:t>8 a 40</w:t>
      </w:r>
      <w:r w:rsidR="00FD523C">
        <w:rPr>
          <w:rFonts w:ascii="Verdana" w:eastAsia="Arial Unicode MS" w:hAnsi="Verdana" w:cs="Arial Unicode MS"/>
          <w:sz w:val="20"/>
          <w:szCs w:val="20"/>
        </w:rPr>
        <w:t>); dicha disposición</w:t>
      </w:r>
      <w:r w:rsidR="00904F99" w:rsidRPr="001C42D9">
        <w:rPr>
          <w:rFonts w:ascii="Verdana" w:eastAsia="Arial Unicode MS" w:hAnsi="Verdana" w:cs="Arial Unicode MS"/>
          <w:sz w:val="20"/>
          <w:szCs w:val="20"/>
        </w:rPr>
        <w:t xml:space="preserve"> habla de “derechos” que se “derivan” de las normas “económicas, sociales y sobre educación, ciencia y cultura, contenidas en la Carta”. De ahí la necesidad de que la Corte IDH analice, caso a caso, qué derechos se derivan de la Carta de la OEA.</w:t>
      </w:r>
    </w:p>
    <w:p w14:paraId="47DFACD9" w14:textId="77777777" w:rsidR="00904F99" w:rsidRDefault="00904F99" w:rsidP="008F62B8">
      <w:pPr>
        <w:pStyle w:val="style11"/>
        <w:shd w:val="clear" w:color="auto" w:fill="FFFFFF"/>
        <w:spacing w:before="0" w:after="0"/>
        <w:ind w:left="0"/>
        <w:rPr>
          <w:rFonts w:ascii="Verdana" w:eastAsia="Arial Unicode MS" w:hAnsi="Verdana" w:cs="Arial Unicode MS"/>
          <w:sz w:val="20"/>
          <w:szCs w:val="20"/>
          <w:lang w:val="es-ES_tradnl"/>
        </w:rPr>
      </w:pPr>
    </w:p>
    <w:p w14:paraId="3AA14F8F" w14:textId="7A39DCF9" w:rsidR="00904F99" w:rsidRDefault="0017580F" w:rsidP="008F62B8">
      <w:pPr>
        <w:pStyle w:val="Estilo4"/>
        <w:numPr>
          <w:ilvl w:val="0"/>
          <w:numId w:val="0"/>
        </w:numPr>
        <w:spacing w:after="0" w:line="240" w:lineRule="auto"/>
        <w:jc w:val="both"/>
        <w:rPr>
          <w:rFonts w:ascii="Verdana" w:hAnsi="Verdana" w:cs="Tahoma"/>
          <w:spacing w:val="-3"/>
          <w:sz w:val="20"/>
          <w:szCs w:val="20"/>
          <w:lang w:val="es-ES_tradnl"/>
        </w:rPr>
      </w:pPr>
      <w:r>
        <w:rPr>
          <w:rFonts w:ascii="Verdana" w:eastAsia="Arial Unicode MS" w:hAnsi="Verdana" w:cs="Arial Unicode MS"/>
          <w:sz w:val="20"/>
          <w:szCs w:val="20"/>
          <w:lang w:val="es-ES_tradnl"/>
        </w:rPr>
        <w:t xml:space="preserve">101. </w:t>
      </w:r>
      <w:r>
        <w:rPr>
          <w:rFonts w:ascii="Verdana" w:eastAsia="Arial Unicode MS" w:hAnsi="Verdana" w:cs="Arial Unicode MS"/>
          <w:sz w:val="20"/>
          <w:szCs w:val="20"/>
          <w:lang w:val="es-ES_tradnl"/>
        </w:rPr>
        <w:tab/>
      </w:r>
      <w:r w:rsidR="00904F99" w:rsidRPr="00A24C14">
        <w:rPr>
          <w:rFonts w:ascii="Verdana" w:eastAsia="Arial Unicode MS" w:hAnsi="Verdana" w:cs="Arial Unicode MS"/>
          <w:sz w:val="20"/>
          <w:szCs w:val="20"/>
          <w:lang w:val="es-ES_tradnl"/>
        </w:rPr>
        <w:t xml:space="preserve">Además, </w:t>
      </w:r>
      <w:r w:rsidR="001C42D9">
        <w:rPr>
          <w:rFonts w:ascii="Verdana" w:eastAsia="Arial Unicode MS" w:hAnsi="Verdana" w:cs="Arial Unicode MS"/>
          <w:sz w:val="20"/>
          <w:szCs w:val="20"/>
          <w:lang w:val="es-ES_tradnl"/>
        </w:rPr>
        <w:t xml:space="preserve">no puede pasar inadvertido que </w:t>
      </w:r>
      <w:r w:rsidR="00904F99" w:rsidRPr="00A24C14">
        <w:rPr>
          <w:rFonts w:ascii="Verdana" w:eastAsia="Arial Unicode MS" w:hAnsi="Verdana" w:cs="Arial Unicode MS"/>
          <w:sz w:val="20"/>
          <w:szCs w:val="20"/>
          <w:lang w:val="es-ES_tradnl"/>
        </w:rPr>
        <w:t>en el artículo XI la Declaración Americana de los Derechos y Deberes del Hombre</w:t>
      </w:r>
      <w:r w:rsidR="00904F99" w:rsidRPr="00A24C14">
        <w:rPr>
          <w:rStyle w:val="FootnoteReference"/>
          <w:rFonts w:ascii="Verdana" w:eastAsia="Arial Unicode MS" w:hAnsi="Verdana"/>
          <w:sz w:val="20"/>
          <w:lang w:val="es-ES_tradnl"/>
        </w:rPr>
        <w:footnoteReference w:id="113"/>
      </w:r>
      <w:r w:rsidR="001C42D9">
        <w:rPr>
          <w:rFonts w:ascii="Verdana" w:eastAsia="Arial Unicode MS" w:hAnsi="Verdana" w:cs="Arial Unicode MS"/>
          <w:sz w:val="20"/>
          <w:szCs w:val="20"/>
          <w:lang w:val="es-ES_tradnl"/>
        </w:rPr>
        <w:t>, si bien referido a la salud</w:t>
      </w:r>
      <w:r w:rsidR="008162B7">
        <w:rPr>
          <w:rFonts w:ascii="Verdana" w:eastAsia="Arial Unicode MS" w:hAnsi="Verdana" w:cs="Arial Unicode MS"/>
          <w:sz w:val="20"/>
          <w:szCs w:val="20"/>
          <w:lang w:val="es-ES_tradnl"/>
        </w:rPr>
        <w:t xml:space="preserve"> se establece</w:t>
      </w:r>
      <w:r w:rsidR="001C42D9">
        <w:rPr>
          <w:rFonts w:ascii="Verdana" w:eastAsia="Arial Unicode MS" w:hAnsi="Verdana" w:cs="Arial Unicode MS"/>
          <w:sz w:val="20"/>
          <w:szCs w:val="20"/>
          <w:lang w:val="es-ES_tradnl"/>
        </w:rPr>
        <w:t>:</w:t>
      </w:r>
      <w:r w:rsidR="00904F99" w:rsidRPr="00A24C14">
        <w:rPr>
          <w:rFonts w:ascii="Verdana" w:eastAsia="Arial Unicode MS" w:hAnsi="Verdana" w:cs="Arial Unicode MS"/>
          <w:sz w:val="20"/>
          <w:szCs w:val="20"/>
          <w:lang w:val="es-ES_tradnl"/>
        </w:rPr>
        <w:t xml:space="preserve"> “</w:t>
      </w:r>
      <w:r w:rsidR="00904F99" w:rsidRPr="00A24C14">
        <w:rPr>
          <w:rFonts w:ascii="Verdana" w:hAnsi="Verdana" w:cs="Tahoma"/>
          <w:spacing w:val="-3"/>
          <w:sz w:val="20"/>
          <w:szCs w:val="20"/>
          <w:lang w:val="es-ES_tradnl"/>
        </w:rPr>
        <w:t xml:space="preserve">Toda persona tiene derecho a que su salud sea preservada por medidas sanitarias y sociales, relativas a la alimentación, el vestido, la </w:t>
      </w:r>
      <w:r w:rsidR="00904F99" w:rsidRPr="00A24C14">
        <w:rPr>
          <w:rFonts w:ascii="Verdana" w:hAnsi="Verdana" w:cs="Tahoma"/>
          <w:i/>
          <w:spacing w:val="-3"/>
          <w:sz w:val="20"/>
          <w:szCs w:val="20"/>
          <w:lang w:val="es-ES_tradnl"/>
        </w:rPr>
        <w:t>vivienda</w:t>
      </w:r>
      <w:r w:rsidR="00904F99" w:rsidRPr="00A24C14">
        <w:rPr>
          <w:rFonts w:ascii="Verdana" w:hAnsi="Verdana" w:cs="Tahoma"/>
          <w:spacing w:val="-3"/>
          <w:sz w:val="20"/>
          <w:szCs w:val="20"/>
          <w:lang w:val="es-ES_tradnl"/>
        </w:rPr>
        <w:t xml:space="preserve"> y la asistencia médica, correspondientes al nivel que permitan los recursos públicos y los de la comunidad” (énfasis añadido)</w:t>
      </w:r>
      <w:r w:rsidR="00904F99">
        <w:rPr>
          <w:rStyle w:val="FootnoteReference"/>
          <w:rFonts w:ascii="Verdana" w:hAnsi="Verdana"/>
          <w:spacing w:val="-3"/>
          <w:sz w:val="20"/>
          <w:lang w:val="es-ES_tradnl"/>
        </w:rPr>
        <w:footnoteReference w:id="114"/>
      </w:r>
      <w:r w:rsidR="00904F99" w:rsidRPr="00A24C14">
        <w:rPr>
          <w:rFonts w:ascii="Verdana" w:hAnsi="Verdana" w:cs="Tahoma"/>
          <w:spacing w:val="-3"/>
          <w:sz w:val="20"/>
          <w:szCs w:val="20"/>
          <w:lang w:val="es-ES_tradnl"/>
        </w:rPr>
        <w:t xml:space="preserve">. </w:t>
      </w:r>
    </w:p>
    <w:p w14:paraId="5975E1C3" w14:textId="77777777" w:rsidR="00904F99" w:rsidRDefault="00904F99" w:rsidP="00904F99">
      <w:pPr>
        <w:pStyle w:val="Estilo4"/>
        <w:numPr>
          <w:ilvl w:val="0"/>
          <w:numId w:val="0"/>
        </w:numPr>
        <w:spacing w:after="0"/>
        <w:jc w:val="both"/>
        <w:rPr>
          <w:rFonts w:ascii="Verdana" w:eastAsia="Arial Unicode MS" w:hAnsi="Verdana" w:cs="Arial Unicode MS"/>
          <w:sz w:val="20"/>
          <w:szCs w:val="20"/>
          <w:lang w:val="es-ES_tradnl"/>
        </w:rPr>
      </w:pPr>
    </w:p>
    <w:p w14:paraId="1A62D441" w14:textId="30F665D2" w:rsidR="00904F99" w:rsidRPr="009C7A17" w:rsidRDefault="0017580F" w:rsidP="00904F99">
      <w:pPr>
        <w:pStyle w:val="Estilo4"/>
        <w:numPr>
          <w:ilvl w:val="0"/>
          <w:numId w:val="0"/>
        </w:numPr>
        <w:spacing w:after="0"/>
        <w:jc w:val="both"/>
        <w:rPr>
          <w:rFonts w:ascii="Verdana" w:eastAsia="Arial Unicode MS" w:hAnsi="Verdana" w:cs="Arial Unicode MS"/>
          <w:sz w:val="20"/>
          <w:szCs w:val="20"/>
          <w:lang w:val="es-ES_tradnl"/>
        </w:rPr>
      </w:pPr>
      <w:r>
        <w:rPr>
          <w:rFonts w:ascii="Verdana" w:eastAsia="Arial Unicode MS" w:hAnsi="Verdana" w:cs="Arial Unicode MS"/>
          <w:sz w:val="20"/>
          <w:szCs w:val="20"/>
          <w:lang w:val="es-ES_tradnl"/>
        </w:rPr>
        <w:t>102</w:t>
      </w:r>
      <w:r w:rsidR="00904F99">
        <w:rPr>
          <w:rFonts w:ascii="Verdana" w:eastAsia="Arial Unicode MS" w:hAnsi="Verdana" w:cs="Arial Unicode MS"/>
          <w:sz w:val="20"/>
          <w:szCs w:val="20"/>
          <w:lang w:val="es-ES_tradnl"/>
        </w:rPr>
        <w:t>.</w:t>
      </w:r>
      <w:r w:rsidR="00904F99">
        <w:rPr>
          <w:rFonts w:ascii="Verdana" w:eastAsia="Arial Unicode MS" w:hAnsi="Verdana" w:cs="Arial Unicode MS"/>
          <w:sz w:val="20"/>
          <w:szCs w:val="20"/>
          <w:lang w:val="es-ES_tradnl"/>
        </w:rPr>
        <w:tab/>
      </w:r>
      <w:r w:rsidR="00904F99" w:rsidRPr="009C7A17">
        <w:rPr>
          <w:rFonts w:ascii="Verdana" w:eastAsia="Arial Unicode MS" w:hAnsi="Verdana" w:cs="Arial Unicode MS"/>
          <w:sz w:val="20"/>
          <w:szCs w:val="20"/>
          <w:lang w:val="es-ES_tradnl"/>
        </w:rPr>
        <w:t>En modo alguno podría aducirse que el entendimiento aquí efectuado</w:t>
      </w:r>
      <w:r w:rsidR="00904F99">
        <w:rPr>
          <w:rFonts w:ascii="Verdana" w:eastAsia="Arial Unicode MS" w:hAnsi="Verdana" w:cs="Arial Unicode MS"/>
          <w:sz w:val="20"/>
          <w:szCs w:val="20"/>
          <w:lang w:val="es-ES_tradnl"/>
        </w:rPr>
        <w:t xml:space="preserve"> implica realizar una</w:t>
      </w:r>
      <w:r w:rsidR="00904F99" w:rsidRPr="009C7A17">
        <w:rPr>
          <w:rFonts w:ascii="Verdana" w:eastAsia="Arial Unicode MS" w:hAnsi="Verdana" w:cs="Arial Unicode MS"/>
          <w:sz w:val="20"/>
          <w:szCs w:val="20"/>
          <w:lang w:val="es-ES_tradnl"/>
        </w:rPr>
        <w:t xml:space="preserve"> modifica</w:t>
      </w:r>
      <w:r w:rsidR="00904F99">
        <w:rPr>
          <w:rFonts w:ascii="Verdana" w:eastAsia="Arial Unicode MS" w:hAnsi="Verdana" w:cs="Arial Unicode MS"/>
          <w:sz w:val="20"/>
          <w:szCs w:val="20"/>
          <w:lang w:val="es-ES_tradnl"/>
        </w:rPr>
        <w:t>ción</w:t>
      </w:r>
      <w:r w:rsidR="00904F99" w:rsidRPr="009C7A17">
        <w:rPr>
          <w:rFonts w:ascii="Verdana" w:eastAsia="Arial Unicode MS" w:hAnsi="Verdana" w:cs="Arial Unicode MS"/>
          <w:sz w:val="20"/>
          <w:szCs w:val="20"/>
          <w:lang w:val="es-ES_tradnl"/>
        </w:rPr>
        <w:t>, por vía de int</w:t>
      </w:r>
      <w:r w:rsidR="00904F99">
        <w:rPr>
          <w:rFonts w:ascii="Verdana" w:eastAsia="Arial Unicode MS" w:hAnsi="Verdana" w:cs="Arial Unicode MS"/>
          <w:sz w:val="20"/>
          <w:szCs w:val="20"/>
          <w:lang w:val="es-ES_tradnl"/>
        </w:rPr>
        <w:t>erpretación, de la Carta de la OEA. No se trata de hacer decir al texto de la Carta lo que no dice, y entender que es la propia Carta la que establece un “derecho”.</w:t>
      </w:r>
      <w:r w:rsidR="00904F99" w:rsidRPr="009C7A17">
        <w:rPr>
          <w:rFonts w:ascii="Verdana" w:eastAsia="Arial Unicode MS" w:hAnsi="Verdana" w:cs="Arial Unicode MS"/>
          <w:sz w:val="20"/>
          <w:szCs w:val="20"/>
          <w:lang w:val="es-ES_tradnl"/>
        </w:rPr>
        <w:t xml:space="preserve"> </w:t>
      </w:r>
      <w:r w:rsidR="00904F99">
        <w:rPr>
          <w:rFonts w:ascii="Verdana" w:eastAsia="Arial Unicode MS" w:hAnsi="Verdana" w:cs="Arial Unicode MS"/>
          <w:sz w:val="20"/>
          <w:szCs w:val="20"/>
          <w:lang w:val="es-ES_tradnl"/>
        </w:rPr>
        <w:t xml:space="preserve">Por el contrario, </w:t>
      </w:r>
      <w:r w:rsidR="00904F99" w:rsidRPr="009C7A17">
        <w:rPr>
          <w:rFonts w:ascii="Verdana" w:eastAsia="Arial Unicode MS" w:hAnsi="Verdana" w:cs="Arial Unicode MS"/>
          <w:sz w:val="20"/>
          <w:szCs w:val="20"/>
          <w:lang w:val="es-ES_tradnl"/>
        </w:rPr>
        <w:t>lo que aquí se está interpretando es el texto de</w:t>
      </w:r>
      <w:r w:rsidR="00904F99">
        <w:rPr>
          <w:rFonts w:ascii="Verdana" w:eastAsia="Arial Unicode MS" w:hAnsi="Verdana" w:cs="Arial Unicode MS"/>
          <w:sz w:val="20"/>
          <w:szCs w:val="20"/>
          <w:lang w:val="es-ES_tradnl"/>
        </w:rPr>
        <w:t>l Pacto de San José</w:t>
      </w:r>
      <w:r w:rsidR="00904F99" w:rsidRPr="009C7A17">
        <w:rPr>
          <w:rFonts w:ascii="Verdana" w:eastAsia="Arial Unicode MS" w:hAnsi="Verdana" w:cs="Arial Unicode MS"/>
          <w:sz w:val="20"/>
          <w:szCs w:val="20"/>
          <w:lang w:val="es-ES_tradnl"/>
        </w:rPr>
        <w:t>, señal</w:t>
      </w:r>
      <w:r>
        <w:rPr>
          <w:rFonts w:ascii="Verdana" w:eastAsia="Arial Unicode MS" w:hAnsi="Verdana" w:cs="Arial Unicode MS"/>
          <w:sz w:val="20"/>
          <w:szCs w:val="20"/>
          <w:lang w:val="es-ES_tradnl"/>
        </w:rPr>
        <w:t>ando</w:t>
      </w:r>
      <w:r w:rsidR="00904F99" w:rsidRPr="009C7A17">
        <w:rPr>
          <w:rFonts w:ascii="Verdana" w:eastAsia="Arial Unicode MS" w:hAnsi="Verdana" w:cs="Arial Unicode MS"/>
          <w:sz w:val="20"/>
          <w:szCs w:val="20"/>
          <w:lang w:val="es-ES_tradnl"/>
        </w:rPr>
        <w:t xml:space="preserve"> que en su artículo 26 se encuentra comprendido el </w:t>
      </w:r>
      <w:r w:rsidR="00904F99" w:rsidRPr="00D441CB">
        <w:rPr>
          <w:rFonts w:ascii="Verdana" w:eastAsia="Arial Unicode MS" w:hAnsi="Verdana" w:cs="Arial Unicode MS"/>
          <w:i/>
          <w:sz w:val="20"/>
          <w:szCs w:val="20"/>
          <w:lang w:val="es-ES_tradnl"/>
        </w:rPr>
        <w:t>derecho a la vivienda</w:t>
      </w:r>
      <w:r w:rsidR="00904F99" w:rsidRPr="009C7A17">
        <w:rPr>
          <w:rFonts w:ascii="Verdana" w:eastAsia="Arial Unicode MS" w:hAnsi="Verdana" w:cs="Arial Unicode MS"/>
          <w:sz w:val="20"/>
          <w:szCs w:val="20"/>
          <w:lang w:val="es-ES_tradnl"/>
        </w:rPr>
        <w:t xml:space="preserve">. </w:t>
      </w:r>
      <w:r w:rsidR="00904F99">
        <w:rPr>
          <w:rFonts w:ascii="Verdana" w:eastAsia="Arial Unicode MS" w:hAnsi="Verdana" w:cs="Arial Unicode MS"/>
          <w:sz w:val="20"/>
          <w:szCs w:val="20"/>
          <w:lang w:val="es-ES_tradnl"/>
        </w:rPr>
        <w:t>N</w:t>
      </w:r>
      <w:r w:rsidR="00904F99" w:rsidRPr="009C7A17">
        <w:rPr>
          <w:rFonts w:ascii="Verdana" w:eastAsia="Arial Unicode MS" w:hAnsi="Verdana" w:cs="Arial Unicode MS"/>
          <w:sz w:val="20"/>
          <w:szCs w:val="20"/>
          <w:lang w:val="es-ES_tradnl"/>
        </w:rPr>
        <w:t>o se trata de sostener que los derechos “están” en la Carta de la OEA, sino que, por imperio de lo normado en el artículo 26 de la Convención,</w:t>
      </w:r>
      <w:r w:rsidR="00904F99">
        <w:rPr>
          <w:rFonts w:ascii="Verdana" w:eastAsia="Arial Unicode MS" w:hAnsi="Verdana" w:cs="Arial Unicode MS"/>
          <w:sz w:val="20"/>
          <w:szCs w:val="20"/>
          <w:lang w:val="es-ES_tradnl"/>
        </w:rPr>
        <w:t xml:space="preserve"> la Carta debe ser utilizada para determinar los derechos que se encuentran comprendidos en el Pacto de San José. </w:t>
      </w:r>
      <w:r w:rsidR="00904F99" w:rsidRPr="009C7A17">
        <w:rPr>
          <w:rFonts w:ascii="Verdana" w:eastAsia="Arial Unicode MS" w:hAnsi="Verdana" w:cs="Arial Unicode MS"/>
          <w:sz w:val="20"/>
          <w:szCs w:val="20"/>
          <w:lang w:val="es-ES_tradnl"/>
        </w:rPr>
        <w:t>La base normativa en la que se encuentran los derechos es la Convención</w:t>
      </w:r>
      <w:r w:rsidR="00B7366A">
        <w:rPr>
          <w:rFonts w:ascii="Verdana" w:eastAsia="Arial Unicode MS" w:hAnsi="Verdana" w:cs="Arial Unicode MS"/>
          <w:sz w:val="20"/>
          <w:szCs w:val="20"/>
          <w:lang w:val="es-ES_tradnl"/>
        </w:rPr>
        <w:t xml:space="preserve"> Americana</w:t>
      </w:r>
      <w:r w:rsidR="00904F99" w:rsidRPr="009C7A17">
        <w:rPr>
          <w:rFonts w:ascii="Verdana" w:eastAsia="Arial Unicode MS" w:hAnsi="Verdana" w:cs="Arial Unicode MS"/>
          <w:sz w:val="20"/>
          <w:szCs w:val="20"/>
          <w:lang w:val="es-ES_tradnl"/>
        </w:rPr>
        <w:t xml:space="preserve">; la Carta de la OEA resulta ser, </w:t>
      </w:r>
      <w:r w:rsidR="00904F99" w:rsidRPr="009C7A17">
        <w:rPr>
          <w:rFonts w:ascii="Verdana" w:eastAsia="Arial Unicode MS" w:hAnsi="Verdana" w:cs="Arial Unicode MS"/>
          <w:sz w:val="20"/>
          <w:szCs w:val="20"/>
          <w:lang w:val="es-ES_tradnl"/>
        </w:rPr>
        <w:lastRenderedPageBreak/>
        <w:t>por mandato de</w:t>
      </w:r>
      <w:r w:rsidR="00B7366A">
        <w:rPr>
          <w:rFonts w:ascii="Verdana" w:eastAsia="Arial Unicode MS" w:hAnsi="Verdana" w:cs="Arial Unicode MS"/>
          <w:sz w:val="20"/>
          <w:szCs w:val="20"/>
          <w:lang w:val="es-ES_tradnl"/>
        </w:rPr>
        <w:t>l Pacto de San José</w:t>
      </w:r>
      <w:r w:rsidR="00904F99" w:rsidRPr="009C7A17">
        <w:rPr>
          <w:rFonts w:ascii="Verdana" w:eastAsia="Arial Unicode MS" w:hAnsi="Verdana" w:cs="Arial Unicode MS"/>
          <w:sz w:val="20"/>
          <w:szCs w:val="20"/>
          <w:lang w:val="es-ES_tradnl"/>
        </w:rPr>
        <w:t>, un texto a utilizar para dilucidar</w:t>
      </w:r>
      <w:r w:rsidR="00904F99">
        <w:rPr>
          <w:rFonts w:ascii="Verdana" w:eastAsia="Arial Unicode MS" w:hAnsi="Verdana" w:cs="Arial Unicode MS"/>
          <w:sz w:val="20"/>
          <w:szCs w:val="20"/>
          <w:lang w:val="es-ES_tradnl"/>
        </w:rPr>
        <w:t xml:space="preserve"> (para “derivar”)</w:t>
      </w:r>
      <w:r w:rsidR="00904F99" w:rsidRPr="009C7A17">
        <w:rPr>
          <w:rFonts w:ascii="Verdana" w:eastAsia="Arial Unicode MS" w:hAnsi="Verdana" w:cs="Arial Unicode MS"/>
          <w:sz w:val="20"/>
          <w:szCs w:val="20"/>
          <w:lang w:val="es-ES_tradnl"/>
        </w:rPr>
        <w:t xml:space="preserve"> los derechos económicos, sociales y culturales comprendidos en este tratado. </w:t>
      </w:r>
    </w:p>
    <w:p w14:paraId="5C756FFE" w14:textId="77777777" w:rsidR="00904F99" w:rsidRPr="009C7A17" w:rsidRDefault="00904F99" w:rsidP="00904F99">
      <w:pPr>
        <w:pStyle w:val="Estilo4"/>
        <w:numPr>
          <w:ilvl w:val="0"/>
          <w:numId w:val="0"/>
        </w:numPr>
        <w:spacing w:after="0"/>
        <w:ind w:left="720"/>
        <w:jc w:val="both"/>
        <w:rPr>
          <w:rFonts w:ascii="Verdana" w:eastAsia="Arial Unicode MS" w:hAnsi="Verdana" w:cs="Arial Unicode MS"/>
          <w:sz w:val="20"/>
          <w:szCs w:val="20"/>
          <w:lang w:val="es-ES_tradnl"/>
        </w:rPr>
      </w:pPr>
    </w:p>
    <w:p w14:paraId="20564DD3" w14:textId="427DA4BF" w:rsidR="00904F99" w:rsidRDefault="00B7366A" w:rsidP="00904F99">
      <w:pPr>
        <w:pStyle w:val="Estilo4"/>
        <w:numPr>
          <w:ilvl w:val="0"/>
          <w:numId w:val="0"/>
        </w:numPr>
        <w:spacing w:after="0"/>
        <w:jc w:val="both"/>
        <w:rPr>
          <w:rFonts w:ascii="Verdana" w:eastAsia="Arial Unicode MS" w:hAnsi="Verdana" w:cs="Arial Unicode MS"/>
          <w:sz w:val="20"/>
          <w:szCs w:val="20"/>
          <w:lang w:val="es-ES_tradnl"/>
        </w:rPr>
      </w:pPr>
      <w:r>
        <w:rPr>
          <w:rFonts w:ascii="Verdana" w:eastAsia="Arial Unicode MS" w:hAnsi="Verdana" w:cs="Arial Unicode MS"/>
          <w:sz w:val="20"/>
          <w:szCs w:val="20"/>
          <w:lang w:val="es-ES_tradnl"/>
        </w:rPr>
        <w:t>103</w:t>
      </w:r>
      <w:r w:rsidR="00904F99">
        <w:rPr>
          <w:rFonts w:ascii="Verdana" w:eastAsia="Arial Unicode MS" w:hAnsi="Verdana" w:cs="Arial Unicode MS"/>
          <w:sz w:val="20"/>
          <w:szCs w:val="20"/>
          <w:lang w:val="es-ES_tradnl"/>
        </w:rPr>
        <w:t>.</w:t>
      </w:r>
      <w:r w:rsidR="00904F99">
        <w:rPr>
          <w:rFonts w:ascii="Verdana" w:eastAsia="Arial Unicode MS" w:hAnsi="Verdana" w:cs="Arial Unicode MS"/>
          <w:sz w:val="20"/>
          <w:szCs w:val="20"/>
          <w:lang w:val="es-ES_tradnl"/>
        </w:rPr>
        <w:tab/>
      </w:r>
      <w:r w:rsidR="00904F99" w:rsidRPr="009C7A17">
        <w:rPr>
          <w:rFonts w:ascii="Verdana" w:eastAsia="Arial Unicode MS" w:hAnsi="Verdana" w:cs="Arial Unicode MS"/>
          <w:sz w:val="20"/>
          <w:szCs w:val="20"/>
          <w:lang w:val="es-ES_tradnl"/>
        </w:rPr>
        <w:t xml:space="preserve">Ahora bien, en cuanto a si el </w:t>
      </w:r>
      <w:r w:rsidR="00904F99" w:rsidRPr="00B7366A">
        <w:rPr>
          <w:rFonts w:ascii="Verdana" w:eastAsia="Arial Unicode MS" w:hAnsi="Verdana" w:cs="Arial Unicode MS"/>
          <w:i/>
          <w:sz w:val="20"/>
          <w:szCs w:val="20"/>
          <w:lang w:val="es-ES_tradnl"/>
        </w:rPr>
        <w:t>derecho a la vivienda</w:t>
      </w:r>
      <w:r w:rsidR="00904F99" w:rsidRPr="009C7A17">
        <w:rPr>
          <w:rFonts w:ascii="Verdana" w:eastAsia="Arial Unicode MS" w:hAnsi="Verdana" w:cs="Arial Unicode MS"/>
          <w:sz w:val="20"/>
          <w:szCs w:val="20"/>
          <w:lang w:val="es-ES_tradnl"/>
        </w:rPr>
        <w:t>, así entendido, ofrece una base normativa suficiente para apreciar su contenido y determinar obligacion</w:t>
      </w:r>
      <w:r w:rsidR="001C42D9">
        <w:rPr>
          <w:rFonts w:ascii="Verdana" w:eastAsia="Arial Unicode MS" w:hAnsi="Verdana" w:cs="Arial Unicode MS"/>
          <w:sz w:val="20"/>
          <w:szCs w:val="20"/>
          <w:lang w:val="es-ES_tradnl"/>
        </w:rPr>
        <w:t>es</w:t>
      </w:r>
      <w:r w:rsidR="00B95968">
        <w:rPr>
          <w:rFonts w:ascii="Verdana" w:eastAsia="Arial Unicode MS" w:hAnsi="Verdana" w:cs="Arial Unicode MS"/>
          <w:sz w:val="20"/>
          <w:szCs w:val="20"/>
          <w:lang w:val="es-ES_tradnl"/>
        </w:rPr>
        <w:t>,</w:t>
      </w:r>
      <w:r w:rsidR="001C42D9">
        <w:rPr>
          <w:rFonts w:ascii="Verdana" w:eastAsia="Arial Unicode MS" w:hAnsi="Verdana" w:cs="Arial Unicode MS"/>
          <w:sz w:val="20"/>
          <w:szCs w:val="20"/>
          <w:lang w:val="es-ES_tradnl"/>
        </w:rPr>
        <w:t xml:space="preserve"> entiendo que sí en los términos previamente analizados.</w:t>
      </w:r>
      <w:r w:rsidR="00904F99" w:rsidRPr="009C7A17">
        <w:rPr>
          <w:rFonts w:ascii="Verdana" w:eastAsia="Arial Unicode MS" w:hAnsi="Verdana" w:cs="Arial Unicode MS"/>
          <w:sz w:val="20"/>
          <w:szCs w:val="20"/>
          <w:lang w:val="es-ES_tradnl"/>
        </w:rPr>
        <w:t xml:space="preserve"> Esto, porque dicho derecho, al igual que otros plasmados en la Convención</w:t>
      </w:r>
      <w:r w:rsidR="00D441CB">
        <w:rPr>
          <w:rFonts w:ascii="Verdana" w:eastAsia="Arial Unicode MS" w:hAnsi="Verdana" w:cs="Arial Unicode MS"/>
          <w:sz w:val="20"/>
          <w:szCs w:val="20"/>
          <w:lang w:val="es-ES_tradnl"/>
        </w:rPr>
        <w:t xml:space="preserve"> Americana</w:t>
      </w:r>
      <w:r w:rsidR="00904F99" w:rsidRPr="009C7A17">
        <w:rPr>
          <w:rFonts w:ascii="Verdana" w:eastAsia="Arial Unicode MS" w:hAnsi="Verdana" w:cs="Arial Unicode MS"/>
          <w:sz w:val="20"/>
          <w:szCs w:val="20"/>
          <w:lang w:val="es-ES_tradnl"/>
        </w:rPr>
        <w:t xml:space="preserve">, debe relacionarse con las obligaciones </w:t>
      </w:r>
      <w:r w:rsidR="001C42D9">
        <w:rPr>
          <w:rFonts w:ascii="Verdana" w:eastAsia="Arial Unicode MS" w:hAnsi="Verdana" w:cs="Arial Unicode MS"/>
          <w:sz w:val="20"/>
          <w:szCs w:val="20"/>
          <w:lang w:val="es-ES_tradnl"/>
        </w:rPr>
        <w:t xml:space="preserve">generales </w:t>
      </w:r>
      <w:r w:rsidR="00904F99" w:rsidRPr="009C7A17">
        <w:rPr>
          <w:rFonts w:ascii="Verdana" w:eastAsia="Arial Unicode MS" w:hAnsi="Verdana" w:cs="Arial Unicode MS"/>
          <w:sz w:val="20"/>
          <w:szCs w:val="20"/>
          <w:lang w:val="es-ES_tradnl"/>
        </w:rPr>
        <w:t>es</w:t>
      </w:r>
      <w:r w:rsidR="001C42D9">
        <w:rPr>
          <w:rFonts w:ascii="Verdana" w:eastAsia="Arial Unicode MS" w:hAnsi="Verdana" w:cs="Arial Unicode MS"/>
          <w:sz w:val="20"/>
          <w:szCs w:val="20"/>
          <w:lang w:val="es-ES_tradnl"/>
        </w:rPr>
        <w:t>tablecidas en los artículos 1.1 y</w:t>
      </w:r>
      <w:r w:rsidR="00904F99" w:rsidRPr="009C7A17">
        <w:rPr>
          <w:rFonts w:ascii="Verdana" w:eastAsia="Arial Unicode MS" w:hAnsi="Verdana" w:cs="Arial Unicode MS"/>
          <w:sz w:val="20"/>
          <w:szCs w:val="20"/>
          <w:lang w:val="es-ES_tradnl"/>
        </w:rPr>
        <w:t xml:space="preserve"> 2 </w:t>
      </w:r>
      <w:r w:rsidR="001C42D9">
        <w:rPr>
          <w:rFonts w:ascii="Verdana" w:eastAsia="Arial Unicode MS" w:hAnsi="Verdana" w:cs="Arial Unicode MS"/>
          <w:sz w:val="20"/>
          <w:szCs w:val="20"/>
          <w:lang w:val="es-ES_tradnl"/>
        </w:rPr>
        <w:t>del Pacto de San José</w:t>
      </w:r>
      <w:r w:rsidR="00D441CB">
        <w:rPr>
          <w:rFonts w:ascii="Verdana" w:eastAsia="Arial Unicode MS" w:hAnsi="Verdana" w:cs="Arial Unicode MS"/>
          <w:sz w:val="20"/>
          <w:szCs w:val="20"/>
          <w:lang w:val="es-ES_tradnl"/>
        </w:rPr>
        <w:t>;</w:t>
      </w:r>
      <w:r w:rsidR="00904F99" w:rsidRPr="009C7A17">
        <w:rPr>
          <w:rFonts w:ascii="Verdana" w:eastAsia="Arial Unicode MS" w:hAnsi="Verdana" w:cs="Arial Unicode MS"/>
          <w:sz w:val="20"/>
          <w:szCs w:val="20"/>
          <w:lang w:val="es-ES_tradnl"/>
        </w:rPr>
        <w:t xml:space="preserve"> y, además, como lo ha hecho habitualmente la Corte</w:t>
      </w:r>
      <w:r w:rsidR="00D441CB">
        <w:rPr>
          <w:rFonts w:ascii="Verdana" w:eastAsia="Arial Unicode MS" w:hAnsi="Verdana" w:cs="Arial Unicode MS"/>
          <w:sz w:val="20"/>
          <w:szCs w:val="20"/>
          <w:lang w:val="es-ES_tradnl"/>
        </w:rPr>
        <w:t xml:space="preserve"> IDH</w:t>
      </w:r>
      <w:r w:rsidR="00904F99" w:rsidRPr="009C7A17">
        <w:rPr>
          <w:rFonts w:ascii="Verdana" w:eastAsia="Arial Unicode MS" w:hAnsi="Verdana" w:cs="Arial Unicode MS"/>
          <w:sz w:val="20"/>
          <w:szCs w:val="20"/>
          <w:lang w:val="es-ES_tradnl"/>
        </w:rPr>
        <w:t xml:space="preserve">, es posible recurrir a otros instrumentos a fin de interpretar el contenido de los derechos que se encuentran en </w:t>
      </w:r>
      <w:r w:rsidR="001C42D9">
        <w:rPr>
          <w:rFonts w:ascii="Verdana" w:eastAsia="Arial Unicode MS" w:hAnsi="Verdana" w:cs="Arial Unicode MS"/>
          <w:sz w:val="20"/>
          <w:szCs w:val="20"/>
          <w:lang w:val="es-ES_tradnl"/>
        </w:rPr>
        <w:t>la Convención Americana</w:t>
      </w:r>
      <w:r w:rsidR="00904F99">
        <w:rPr>
          <w:rStyle w:val="FootnoteReference"/>
          <w:rFonts w:ascii="Verdana" w:eastAsia="Arial Unicode MS" w:hAnsi="Verdana"/>
          <w:sz w:val="20"/>
          <w:lang w:val="es-ES_tradnl"/>
        </w:rPr>
        <w:footnoteReference w:id="115"/>
      </w:r>
      <w:r w:rsidR="00904F99" w:rsidRPr="009C7A17">
        <w:rPr>
          <w:rFonts w:ascii="Verdana" w:eastAsia="Arial Unicode MS" w:hAnsi="Verdana" w:cs="Arial Unicode MS"/>
          <w:sz w:val="20"/>
          <w:szCs w:val="20"/>
          <w:lang w:val="es-ES_tradnl"/>
        </w:rPr>
        <w:t xml:space="preserve">. </w:t>
      </w:r>
    </w:p>
    <w:p w14:paraId="29F4565E" w14:textId="77777777" w:rsidR="00904F99" w:rsidRDefault="00904F99" w:rsidP="00904F99">
      <w:pPr>
        <w:pStyle w:val="Estilo4"/>
        <w:numPr>
          <w:ilvl w:val="0"/>
          <w:numId w:val="0"/>
        </w:numPr>
        <w:spacing w:after="0"/>
        <w:jc w:val="both"/>
        <w:rPr>
          <w:rFonts w:ascii="Verdana" w:eastAsia="Arial Unicode MS" w:hAnsi="Verdana" w:cs="Arial Unicode MS"/>
          <w:sz w:val="20"/>
          <w:szCs w:val="20"/>
          <w:lang w:val="es-ES_tradnl"/>
        </w:rPr>
      </w:pPr>
    </w:p>
    <w:p w14:paraId="49954F3A" w14:textId="75F2A36D" w:rsidR="001C42D9" w:rsidRDefault="00B7366A" w:rsidP="00904F99">
      <w:pPr>
        <w:pStyle w:val="Estilo4"/>
        <w:numPr>
          <w:ilvl w:val="0"/>
          <w:numId w:val="0"/>
        </w:numPr>
        <w:spacing w:after="0"/>
        <w:jc w:val="both"/>
        <w:rPr>
          <w:rFonts w:ascii="Verdana" w:eastAsia="Arial Unicode MS" w:hAnsi="Verdana" w:cs="Arial Unicode MS"/>
          <w:sz w:val="20"/>
          <w:szCs w:val="20"/>
          <w:lang w:val="es-ES_tradnl"/>
        </w:rPr>
      </w:pPr>
      <w:r>
        <w:rPr>
          <w:rFonts w:ascii="Verdana" w:eastAsia="Arial Unicode MS" w:hAnsi="Verdana" w:cs="Arial Unicode MS"/>
          <w:sz w:val="20"/>
          <w:szCs w:val="20"/>
          <w:lang w:val="es-ES_tradnl"/>
        </w:rPr>
        <w:t>104</w:t>
      </w:r>
      <w:r w:rsidR="00D441CB">
        <w:rPr>
          <w:rFonts w:ascii="Verdana" w:eastAsia="Arial Unicode MS" w:hAnsi="Verdana" w:cs="Arial Unicode MS"/>
          <w:sz w:val="20"/>
          <w:szCs w:val="20"/>
          <w:lang w:val="es-ES_tradnl"/>
        </w:rPr>
        <w:t xml:space="preserve">. </w:t>
      </w:r>
      <w:r w:rsidR="00D441CB">
        <w:rPr>
          <w:rFonts w:ascii="Verdana" w:eastAsia="Arial Unicode MS" w:hAnsi="Verdana" w:cs="Arial Unicode MS"/>
          <w:sz w:val="20"/>
          <w:szCs w:val="20"/>
          <w:lang w:val="es-ES_tradnl"/>
        </w:rPr>
        <w:tab/>
      </w:r>
      <w:r w:rsidR="00904F99" w:rsidRPr="009C7A17">
        <w:rPr>
          <w:rFonts w:ascii="Verdana" w:eastAsia="Arial Unicode MS" w:hAnsi="Verdana" w:cs="Arial Unicode MS"/>
          <w:sz w:val="20"/>
          <w:szCs w:val="20"/>
          <w:lang w:val="es-ES_tradnl"/>
        </w:rPr>
        <w:t xml:space="preserve">En todo caso, es una característica propia del derecho internacional de los derechos humanos que sus normas sean escuetas y no ofrezcan una reglamentación detallada de su contenido. Esta característica no las priva en modo alguno de operatividad o </w:t>
      </w:r>
      <w:proofErr w:type="spellStart"/>
      <w:r w:rsidR="00904F99" w:rsidRPr="009C7A17">
        <w:rPr>
          <w:rFonts w:ascii="Verdana" w:eastAsia="Arial Unicode MS" w:hAnsi="Verdana" w:cs="Arial Unicode MS"/>
          <w:sz w:val="20"/>
          <w:szCs w:val="20"/>
          <w:lang w:val="es-ES_tradnl"/>
        </w:rPr>
        <w:t>justiciabilidad</w:t>
      </w:r>
      <w:proofErr w:type="spellEnd"/>
      <w:r w:rsidR="00904F99">
        <w:rPr>
          <w:rFonts w:ascii="Verdana" w:eastAsia="Arial Unicode MS" w:hAnsi="Verdana" w:cs="Arial Unicode MS"/>
          <w:sz w:val="20"/>
          <w:szCs w:val="20"/>
          <w:lang w:val="es-ES_tradnl"/>
        </w:rPr>
        <w:t xml:space="preserve">. </w:t>
      </w:r>
      <w:r w:rsidR="00904F99" w:rsidRPr="009C7A17">
        <w:rPr>
          <w:rFonts w:ascii="Verdana" w:eastAsia="Arial Unicode MS" w:hAnsi="Verdana" w:cs="Arial Unicode MS"/>
          <w:sz w:val="20"/>
          <w:szCs w:val="20"/>
          <w:lang w:val="es-ES_tradnl"/>
        </w:rPr>
        <w:t xml:space="preserve">En todo caso, la situación no es distinta a la que ha permitido a la Corte </w:t>
      </w:r>
      <w:r w:rsidR="00D441CB">
        <w:rPr>
          <w:rFonts w:ascii="Verdana" w:eastAsia="Arial Unicode MS" w:hAnsi="Verdana" w:cs="Arial Unicode MS"/>
          <w:sz w:val="20"/>
          <w:szCs w:val="20"/>
          <w:lang w:val="es-ES_tradnl"/>
        </w:rPr>
        <w:t xml:space="preserve">IDH </w:t>
      </w:r>
      <w:r w:rsidR="00904F99" w:rsidRPr="009C7A17">
        <w:rPr>
          <w:rFonts w:ascii="Verdana" w:eastAsia="Arial Unicode MS" w:hAnsi="Verdana" w:cs="Arial Unicode MS"/>
          <w:sz w:val="20"/>
          <w:szCs w:val="20"/>
          <w:lang w:val="es-ES_tradnl"/>
        </w:rPr>
        <w:t xml:space="preserve">pronunciarse sobre derechos y obligaciones que no se encuentran expresamente plasmados en el tratado, pero que ha entendido que se desprenden de sus normas. </w:t>
      </w:r>
    </w:p>
    <w:p w14:paraId="1FAF5539" w14:textId="77777777" w:rsidR="00C852E4" w:rsidRDefault="00C852E4" w:rsidP="00B95968">
      <w:pPr>
        <w:pStyle w:val="Estilo4"/>
        <w:numPr>
          <w:ilvl w:val="0"/>
          <w:numId w:val="0"/>
        </w:numPr>
        <w:spacing w:after="0"/>
        <w:jc w:val="both"/>
        <w:rPr>
          <w:rFonts w:ascii="Verdana" w:eastAsia="Arial Unicode MS" w:hAnsi="Verdana" w:cs="Arial Unicode MS"/>
          <w:sz w:val="20"/>
          <w:szCs w:val="20"/>
          <w:lang w:val="es-ES_tradnl"/>
        </w:rPr>
      </w:pPr>
    </w:p>
    <w:p w14:paraId="181805EE" w14:textId="663B88DA" w:rsidR="002C5F28" w:rsidRDefault="00B7366A" w:rsidP="00B95968">
      <w:pPr>
        <w:pStyle w:val="Estilo4"/>
        <w:numPr>
          <w:ilvl w:val="0"/>
          <w:numId w:val="0"/>
        </w:numPr>
        <w:spacing w:after="0"/>
        <w:jc w:val="both"/>
        <w:rPr>
          <w:rFonts w:ascii="Verdana" w:eastAsia="Arial Unicode MS" w:hAnsi="Verdana" w:cs="Arial Unicode MS"/>
          <w:sz w:val="20"/>
          <w:szCs w:val="20"/>
          <w:lang w:val="es-ES_tradnl"/>
        </w:rPr>
      </w:pPr>
      <w:r>
        <w:rPr>
          <w:rFonts w:ascii="Verdana" w:eastAsia="Arial Unicode MS" w:hAnsi="Verdana" w:cs="Arial Unicode MS"/>
          <w:sz w:val="20"/>
          <w:szCs w:val="20"/>
          <w:lang w:val="es-ES_tradnl"/>
        </w:rPr>
        <w:t>105</w:t>
      </w:r>
      <w:r w:rsidR="001C42D9">
        <w:rPr>
          <w:rFonts w:ascii="Verdana" w:eastAsia="Arial Unicode MS" w:hAnsi="Verdana" w:cs="Arial Unicode MS"/>
          <w:sz w:val="20"/>
          <w:szCs w:val="20"/>
          <w:lang w:val="es-ES_tradnl"/>
        </w:rPr>
        <w:t xml:space="preserve">. </w:t>
      </w:r>
      <w:r w:rsidR="001C42D9">
        <w:rPr>
          <w:rFonts w:ascii="Verdana" w:eastAsia="Arial Unicode MS" w:hAnsi="Verdana" w:cs="Arial Unicode MS"/>
          <w:sz w:val="20"/>
          <w:szCs w:val="20"/>
          <w:lang w:val="es-ES_tradnl"/>
        </w:rPr>
        <w:tab/>
      </w:r>
      <w:r w:rsidR="00904F99" w:rsidRPr="009C7A17">
        <w:rPr>
          <w:rFonts w:ascii="Verdana" w:eastAsia="Arial Unicode MS" w:hAnsi="Verdana" w:cs="Arial Unicode MS"/>
          <w:sz w:val="20"/>
          <w:szCs w:val="20"/>
          <w:lang w:val="es-ES_tradnl"/>
        </w:rPr>
        <w:t xml:space="preserve">Así, por ejemplo, la Corte </w:t>
      </w:r>
      <w:r w:rsidR="00D441CB">
        <w:rPr>
          <w:rFonts w:ascii="Verdana" w:eastAsia="Arial Unicode MS" w:hAnsi="Verdana" w:cs="Arial Unicode MS"/>
          <w:sz w:val="20"/>
          <w:szCs w:val="20"/>
          <w:lang w:val="es-ES_tradnl"/>
        </w:rPr>
        <w:t xml:space="preserve">IDH </w:t>
      </w:r>
      <w:r w:rsidR="00904F99" w:rsidRPr="009C7A17">
        <w:rPr>
          <w:rFonts w:ascii="Verdana" w:eastAsia="Arial Unicode MS" w:hAnsi="Verdana" w:cs="Arial Unicode MS"/>
          <w:sz w:val="20"/>
          <w:szCs w:val="20"/>
          <w:lang w:val="es-ES_tradnl"/>
        </w:rPr>
        <w:t>se ha pronunciado respecto al “derecho a la identidad”</w:t>
      </w:r>
      <w:r w:rsidR="00904F99">
        <w:rPr>
          <w:rFonts w:ascii="Verdana" w:eastAsia="Arial Unicode MS" w:hAnsi="Verdana" w:cs="Arial Unicode MS"/>
          <w:sz w:val="20"/>
          <w:szCs w:val="20"/>
          <w:lang w:val="es-ES_tradnl"/>
        </w:rPr>
        <w:t>, sin que la palabra “identidad” pueda encontrarse en la Convención</w:t>
      </w:r>
      <w:r w:rsidR="00D441CB">
        <w:rPr>
          <w:rFonts w:ascii="Verdana" w:eastAsia="Arial Unicode MS" w:hAnsi="Verdana" w:cs="Arial Unicode MS"/>
          <w:sz w:val="20"/>
          <w:szCs w:val="20"/>
          <w:lang w:val="es-ES_tradnl"/>
        </w:rPr>
        <w:t xml:space="preserve"> Americana</w:t>
      </w:r>
      <w:r w:rsidR="00904F99">
        <w:rPr>
          <w:rStyle w:val="FootnoteReference"/>
          <w:rFonts w:ascii="Verdana" w:eastAsia="Arial Unicode MS" w:hAnsi="Verdana"/>
          <w:sz w:val="20"/>
          <w:lang w:val="es-ES_tradnl"/>
        </w:rPr>
        <w:footnoteReference w:id="116"/>
      </w:r>
      <w:r w:rsidR="001C42D9">
        <w:rPr>
          <w:rFonts w:ascii="Verdana" w:eastAsia="Arial Unicode MS" w:hAnsi="Verdana" w:cs="Arial Unicode MS"/>
          <w:sz w:val="20"/>
          <w:szCs w:val="20"/>
          <w:lang w:val="es-ES_tradnl"/>
        </w:rPr>
        <w:t xml:space="preserve">; </w:t>
      </w:r>
      <w:r w:rsidR="00FD523C">
        <w:rPr>
          <w:rFonts w:ascii="Verdana" w:eastAsia="Arial Unicode MS" w:hAnsi="Verdana" w:cs="Arial Unicode MS"/>
          <w:sz w:val="20"/>
          <w:szCs w:val="20"/>
          <w:lang w:val="es-ES_tradnl"/>
        </w:rPr>
        <w:t>también lo ha hecho respecto al</w:t>
      </w:r>
      <w:r w:rsidR="009D6571" w:rsidRPr="00E75666">
        <w:rPr>
          <w:rFonts w:ascii="Verdana" w:eastAsia="Arial Unicode MS" w:hAnsi="Verdana" w:cs="Arial Unicode MS"/>
          <w:sz w:val="20"/>
          <w:szCs w:val="20"/>
          <w:lang w:val="es-ES_tradnl"/>
        </w:rPr>
        <w:t xml:space="preserve"> “derecho a la verdad”</w:t>
      </w:r>
      <w:r w:rsidR="00FD523C">
        <w:rPr>
          <w:rFonts w:ascii="Verdana" w:eastAsia="Arial Unicode MS" w:hAnsi="Verdana" w:cs="Arial Unicode MS"/>
          <w:sz w:val="20"/>
          <w:szCs w:val="20"/>
          <w:lang w:val="es-ES_tradnl"/>
        </w:rPr>
        <w:t>, que no se encuentra expreso en la Convención</w:t>
      </w:r>
      <w:r w:rsidR="009D6571" w:rsidRPr="00E75666">
        <w:rPr>
          <w:rStyle w:val="FootnoteReference"/>
          <w:rFonts w:ascii="Verdana" w:eastAsia="Arial Unicode MS" w:hAnsi="Verdana" w:cs="Arial Unicode MS"/>
          <w:sz w:val="20"/>
          <w:szCs w:val="20"/>
          <w:lang w:val="es-ES_tradnl"/>
        </w:rPr>
        <w:footnoteReference w:id="117"/>
      </w:r>
      <w:r w:rsidR="009D6571">
        <w:rPr>
          <w:rFonts w:ascii="Verdana" w:eastAsia="Arial Unicode MS" w:hAnsi="Verdana" w:cs="Arial Unicode MS"/>
          <w:sz w:val="20"/>
          <w:szCs w:val="20"/>
          <w:lang w:val="es-ES_tradnl"/>
        </w:rPr>
        <w:t xml:space="preserve">; </w:t>
      </w:r>
      <w:r w:rsidR="009D6571" w:rsidRPr="00E75666">
        <w:rPr>
          <w:rFonts w:ascii="Verdana" w:eastAsia="Arial Unicode MS" w:hAnsi="Verdana" w:cs="Arial Unicode MS"/>
          <w:sz w:val="20"/>
          <w:szCs w:val="20"/>
          <w:lang w:val="es-ES_tradnl"/>
        </w:rPr>
        <w:t>o “el derecho a la consul</w:t>
      </w:r>
      <w:r w:rsidR="009D6571">
        <w:rPr>
          <w:rFonts w:ascii="Verdana" w:eastAsia="Arial Unicode MS" w:hAnsi="Verdana" w:cs="Arial Unicode MS"/>
          <w:sz w:val="20"/>
          <w:szCs w:val="20"/>
          <w:lang w:val="es-ES_tradnl"/>
        </w:rPr>
        <w:t>ta” en el caso de los</w:t>
      </w:r>
      <w:r w:rsidR="009D6571" w:rsidRPr="00E75666">
        <w:rPr>
          <w:rFonts w:ascii="Verdana" w:eastAsia="Arial Unicode MS" w:hAnsi="Verdana" w:cs="Arial Unicode MS"/>
          <w:sz w:val="20"/>
          <w:szCs w:val="20"/>
          <w:lang w:val="es-ES_tradnl"/>
        </w:rPr>
        <w:t xml:space="preserve"> </w:t>
      </w:r>
      <w:r w:rsidR="009D6571">
        <w:rPr>
          <w:rFonts w:ascii="Verdana" w:eastAsia="Arial Unicode MS" w:hAnsi="Verdana" w:cs="Arial Unicode MS"/>
          <w:sz w:val="20"/>
          <w:szCs w:val="20"/>
          <w:lang w:val="es-ES_tradnl"/>
        </w:rPr>
        <w:lastRenderedPageBreak/>
        <w:t xml:space="preserve">pueblos </w:t>
      </w:r>
      <w:r w:rsidR="009D6571" w:rsidRPr="00813000">
        <w:rPr>
          <w:rFonts w:ascii="Verdana" w:eastAsia="Arial Unicode MS" w:hAnsi="Verdana" w:cs="Arial Unicode MS"/>
          <w:sz w:val="20"/>
          <w:szCs w:val="20"/>
          <w:lang w:val="es-ES_tradnl"/>
        </w:rPr>
        <w:t>indígenas</w:t>
      </w:r>
      <w:r w:rsidR="009D6571">
        <w:rPr>
          <w:rFonts w:ascii="Verdana" w:eastAsia="Arial Unicode MS" w:hAnsi="Verdana" w:cs="Arial Unicode MS"/>
          <w:sz w:val="20"/>
          <w:szCs w:val="20"/>
          <w:lang w:val="es-ES_tradnl"/>
        </w:rPr>
        <w:t xml:space="preserve"> y tribales</w:t>
      </w:r>
      <w:r w:rsidR="009D6571" w:rsidRPr="00813000">
        <w:rPr>
          <w:rStyle w:val="FootnoteReference"/>
          <w:rFonts w:ascii="Verdana" w:eastAsia="Arial Unicode MS" w:hAnsi="Verdana" w:cs="Arial Unicode MS"/>
          <w:sz w:val="20"/>
          <w:szCs w:val="20"/>
          <w:lang w:val="es-ES_tradnl"/>
        </w:rPr>
        <w:footnoteReference w:id="118"/>
      </w:r>
      <w:r w:rsidR="009D6571" w:rsidRPr="00813000">
        <w:rPr>
          <w:rFonts w:ascii="Verdana" w:eastAsia="Arial Unicode MS" w:hAnsi="Verdana" w:cs="Arial Unicode MS"/>
          <w:sz w:val="20"/>
          <w:szCs w:val="20"/>
          <w:lang w:val="es-ES_tradnl"/>
        </w:rPr>
        <w:t xml:space="preserve">. </w:t>
      </w:r>
      <w:r w:rsidR="00904F99">
        <w:rPr>
          <w:rFonts w:ascii="Verdana" w:eastAsia="Arial Unicode MS" w:hAnsi="Verdana" w:cs="Arial Unicode MS"/>
          <w:sz w:val="20"/>
          <w:szCs w:val="20"/>
          <w:lang w:val="es-ES_tradnl"/>
        </w:rPr>
        <w:t>A</w:t>
      </w:r>
      <w:r w:rsidR="00904F99" w:rsidRPr="009C7A17">
        <w:rPr>
          <w:rFonts w:ascii="Verdana" w:eastAsia="Arial Unicode MS" w:hAnsi="Verdana" w:cs="Arial Unicode MS"/>
          <w:sz w:val="20"/>
          <w:szCs w:val="20"/>
          <w:lang w:val="es-ES_tradnl"/>
        </w:rPr>
        <w:t>simismo, resulta extensa, constante y detallada la jurisprudencia respecto a la “obligación de investigar”, siendo que la voz “investigar” no se encuentra en modo explícito en ninguna norma del tratado</w:t>
      </w:r>
      <w:r w:rsidR="00904F99">
        <w:rPr>
          <w:rStyle w:val="FootnoteReference"/>
          <w:rFonts w:ascii="Verdana" w:eastAsia="Arial Unicode MS" w:hAnsi="Verdana"/>
          <w:sz w:val="20"/>
          <w:lang w:val="es-ES_tradnl"/>
        </w:rPr>
        <w:footnoteReference w:id="119"/>
      </w:r>
      <w:r w:rsidR="00C852E4">
        <w:rPr>
          <w:rFonts w:ascii="Verdana" w:eastAsia="Arial Unicode MS" w:hAnsi="Verdana" w:cs="Arial Unicode MS"/>
          <w:sz w:val="20"/>
          <w:szCs w:val="20"/>
          <w:lang w:val="es-ES_tradnl"/>
        </w:rPr>
        <w:t>.</w:t>
      </w:r>
    </w:p>
    <w:p w14:paraId="7EF1679D" w14:textId="48E9D615" w:rsidR="00C852E4" w:rsidRDefault="00C852E4" w:rsidP="00187189">
      <w:pPr>
        <w:pStyle w:val="Estilo4"/>
        <w:numPr>
          <w:ilvl w:val="0"/>
          <w:numId w:val="0"/>
        </w:numPr>
        <w:spacing w:after="0"/>
        <w:rPr>
          <w:rFonts w:ascii="Verdana" w:eastAsia="Arial Unicode MS" w:hAnsi="Verdana" w:cs="Arial Unicode MS"/>
          <w:b/>
          <w:sz w:val="20"/>
          <w:szCs w:val="20"/>
          <w:lang w:val="es-ES_tradnl"/>
        </w:rPr>
      </w:pPr>
    </w:p>
    <w:p w14:paraId="68BFE933" w14:textId="77777777" w:rsidR="00C066E4" w:rsidRPr="00C852E4" w:rsidRDefault="00C066E4" w:rsidP="00187189">
      <w:pPr>
        <w:pStyle w:val="Estilo4"/>
        <w:numPr>
          <w:ilvl w:val="0"/>
          <w:numId w:val="0"/>
        </w:numPr>
        <w:spacing w:after="0"/>
        <w:rPr>
          <w:rFonts w:ascii="Verdana" w:eastAsia="Arial Unicode MS" w:hAnsi="Verdana" w:cs="Arial Unicode MS"/>
          <w:b/>
          <w:sz w:val="20"/>
          <w:szCs w:val="20"/>
          <w:lang w:val="es-ES_tradnl"/>
        </w:rPr>
      </w:pPr>
    </w:p>
    <w:p w14:paraId="5B394181" w14:textId="6770A7A7" w:rsidR="00C852E4" w:rsidRPr="00187189" w:rsidRDefault="009D6571" w:rsidP="00C852E4">
      <w:pPr>
        <w:pStyle w:val="Estilo4"/>
        <w:numPr>
          <w:ilvl w:val="0"/>
          <w:numId w:val="0"/>
        </w:numPr>
        <w:spacing w:after="0"/>
        <w:jc w:val="center"/>
        <w:rPr>
          <w:rFonts w:ascii="Verdana" w:eastAsia="Arial Unicode MS" w:hAnsi="Verdana" w:cs="Arial Unicode MS"/>
          <w:caps/>
          <w:sz w:val="20"/>
          <w:szCs w:val="20"/>
          <w:lang w:val="es-ES_tradnl"/>
        </w:rPr>
      </w:pPr>
      <w:r w:rsidRPr="00187189">
        <w:rPr>
          <w:rFonts w:ascii="Verdana" w:eastAsia="Arial Unicode MS" w:hAnsi="Verdana" w:cs="Arial Unicode MS"/>
          <w:caps/>
          <w:sz w:val="20"/>
          <w:szCs w:val="20"/>
          <w:lang w:val="es-ES_tradnl"/>
        </w:rPr>
        <w:t xml:space="preserve">IV. </w:t>
      </w:r>
      <w:r w:rsidR="00C852E4" w:rsidRPr="00187189">
        <w:rPr>
          <w:rFonts w:ascii="Verdana" w:eastAsia="Arial Unicode MS" w:hAnsi="Verdana" w:cs="Arial Unicode MS"/>
          <w:caps/>
          <w:sz w:val="20"/>
          <w:szCs w:val="20"/>
          <w:lang w:val="es-ES_tradnl"/>
        </w:rPr>
        <w:t xml:space="preserve">La vulneración del derecho a la vivienda con fundamento </w:t>
      </w:r>
    </w:p>
    <w:p w14:paraId="0E20DD30" w14:textId="05A5C9AC" w:rsidR="00C852E4" w:rsidRPr="00187189" w:rsidRDefault="00C852E4" w:rsidP="00C852E4">
      <w:pPr>
        <w:pStyle w:val="Estilo4"/>
        <w:numPr>
          <w:ilvl w:val="0"/>
          <w:numId w:val="0"/>
        </w:numPr>
        <w:spacing w:after="0"/>
        <w:jc w:val="center"/>
        <w:rPr>
          <w:rFonts w:ascii="Verdana" w:eastAsia="Arial Unicode MS" w:hAnsi="Verdana" w:cs="Arial Unicode MS"/>
          <w:i/>
          <w:caps/>
          <w:sz w:val="20"/>
          <w:szCs w:val="20"/>
          <w:lang w:val="es-ES_tradnl"/>
        </w:rPr>
      </w:pPr>
      <w:r w:rsidRPr="00187189">
        <w:rPr>
          <w:rFonts w:ascii="Verdana" w:eastAsia="Arial Unicode MS" w:hAnsi="Verdana" w:cs="Arial Unicode MS"/>
          <w:caps/>
          <w:sz w:val="20"/>
          <w:szCs w:val="20"/>
          <w:lang w:val="es-ES_tradnl"/>
        </w:rPr>
        <w:t xml:space="preserve">en el principio </w:t>
      </w:r>
      <w:r w:rsidRPr="00187189">
        <w:rPr>
          <w:rFonts w:ascii="Verdana" w:eastAsia="Arial Unicode MS" w:hAnsi="Verdana" w:cs="Arial Unicode MS"/>
          <w:i/>
          <w:caps/>
          <w:sz w:val="20"/>
          <w:szCs w:val="20"/>
          <w:lang w:val="es-ES_tradnl"/>
        </w:rPr>
        <w:t>iura novit curia</w:t>
      </w:r>
    </w:p>
    <w:p w14:paraId="0B4A924F" w14:textId="77777777" w:rsidR="002C5F28" w:rsidRDefault="002C5F28" w:rsidP="00C852E4">
      <w:pPr>
        <w:pStyle w:val="ListParagraph"/>
        <w:ind w:left="0"/>
        <w:jc w:val="both"/>
        <w:rPr>
          <w:rFonts w:ascii="Verdana" w:hAnsi="Verdana"/>
          <w:sz w:val="20"/>
          <w:szCs w:val="20"/>
        </w:rPr>
      </w:pPr>
    </w:p>
    <w:p w14:paraId="560FFA83" w14:textId="463F4E25" w:rsidR="00402DFB" w:rsidRPr="00B7366A" w:rsidRDefault="00B7366A" w:rsidP="00C852E4">
      <w:pPr>
        <w:tabs>
          <w:tab w:val="left" w:pos="709"/>
          <w:tab w:val="left" w:pos="9356"/>
        </w:tabs>
        <w:ind w:right="4"/>
        <w:jc w:val="both"/>
        <w:rPr>
          <w:rFonts w:ascii="Verdana" w:hAnsi="Verdana"/>
          <w:sz w:val="20"/>
          <w:szCs w:val="20"/>
        </w:rPr>
      </w:pPr>
      <w:r>
        <w:rPr>
          <w:rFonts w:ascii="Verdana" w:hAnsi="Verdana"/>
          <w:sz w:val="20"/>
          <w:szCs w:val="20"/>
        </w:rPr>
        <w:t>106</w:t>
      </w:r>
      <w:r w:rsidR="00C852E4" w:rsidRPr="00B7366A">
        <w:rPr>
          <w:rFonts w:ascii="Verdana" w:hAnsi="Verdana"/>
          <w:sz w:val="20"/>
          <w:szCs w:val="20"/>
        </w:rPr>
        <w:t>.</w:t>
      </w:r>
      <w:r w:rsidR="00C852E4" w:rsidRPr="00B7366A">
        <w:rPr>
          <w:rFonts w:ascii="Verdana" w:hAnsi="Verdana"/>
          <w:sz w:val="20"/>
          <w:szCs w:val="20"/>
        </w:rPr>
        <w:tab/>
      </w:r>
      <w:r w:rsidR="00402DFB" w:rsidRPr="00B7366A">
        <w:rPr>
          <w:rFonts w:ascii="Verdana" w:hAnsi="Verdana"/>
          <w:sz w:val="20"/>
          <w:szCs w:val="20"/>
        </w:rPr>
        <w:t xml:space="preserve">En el presente caso ni los representantes de las víctimas ni la Comisión Interamericana alegaron explícitamente la violación del artículo 26 de la Convención Americana. Sin embargo, ha sido práctica reiterada del Tribunal Interamericano la aplicación del principio </w:t>
      </w:r>
      <w:proofErr w:type="spellStart"/>
      <w:r w:rsidR="00402DFB" w:rsidRPr="00B7366A">
        <w:rPr>
          <w:rFonts w:ascii="Verdana" w:hAnsi="Verdana"/>
          <w:i/>
          <w:sz w:val="20"/>
          <w:szCs w:val="20"/>
        </w:rPr>
        <w:t>iura</w:t>
      </w:r>
      <w:proofErr w:type="spellEnd"/>
      <w:r w:rsidR="00402DFB" w:rsidRPr="00B7366A">
        <w:rPr>
          <w:rFonts w:ascii="Verdana" w:hAnsi="Verdana"/>
          <w:i/>
          <w:sz w:val="20"/>
          <w:szCs w:val="20"/>
        </w:rPr>
        <w:t xml:space="preserve"> </w:t>
      </w:r>
      <w:proofErr w:type="spellStart"/>
      <w:r w:rsidR="00402DFB" w:rsidRPr="00B7366A">
        <w:rPr>
          <w:rFonts w:ascii="Verdana" w:hAnsi="Verdana"/>
          <w:i/>
          <w:sz w:val="20"/>
          <w:szCs w:val="20"/>
        </w:rPr>
        <w:t>novit</w:t>
      </w:r>
      <w:proofErr w:type="spellEnd"/>
      <w:r w:rsidR="00402DFB" w:rsidRPr="00B7366A">
        <w:rPr>
          <w:rFonts w:ascii="Verdana" w:hAnsi="Verdana"/>
          <w:i/>
          <w:sz w:val="20"/>
          <w:szCs w:val="20"/>
        </w:rPr>
        <w:t xml:space="preserve"> curia</w:t>
      </w:r>
      <w:r w:rsidR="00402DFB" w:rsidRPr="00B7366A">
        <w:rPr>
          <w:rFonts w:ascii="Verdana" w:hAnsi="Verdana"/>
          <w:sz w:val="20"/>
          <w:szCs w:val="20"/>
        </w:rPr>
        <w:t>, lo cual puede ser válidamente invocado en casos como en el que se analizó, especialmente si se tiene en consideración que sí existen alegatos sobre la vulneración de la vivienda, la cual fue incluso valorada por la Corte IDH en las reparaciones.</w:t>
      </w:r>
    </w:p>
    <w:p w14:paraId="2BB3CD5C" w14:textId="77777777" w:rsidR="00402DFB" w:rsidRPr="00B7366A" w:rsidRDefault="00402DFB" w:rsidP="00C852E4">
      <w:pPr>
        <w:tabs>
          <w:tab w:val="left" w:pos="709"/>
          <w:tab w:val="left" w:pos="9356"/>
        </w:tabs>
        <w:ind w:right="4"/>
        <w:jc w:val="both"/>
        <w:rPr>
          <w:rFonts w:ascii="Verdana" w:hAnsi="Verdana"/>
          <w:sz w:val="20"/>
          <w:szCs w:val="20"/>
        </w:rPr>
      </w:pPr>
    </w:p>
    <w:p w14:paraId="13296230" w14:textId="2CC8BB32" w:rsidR="00C852E4" w:rsidRPr="00B7366A" w:rsidRDefault="00B7366A" w:rsidP="00C852E4">
      <w:pPr>
        <w:tabs>
          <w:tab w:val="left" w:pos="709"/>
          <w:tab w:val="left" w:pos="9356"/>
        </w:tabs>
        <w:ind w:right="4"/>
        <w:jc w:val="both"/>
        <w:rPr>
          <w:rFonts w:ascii="Verdana" w:hAnsi="Verdana"/>
          <w:sz w:val="20"/>
          <w:szCs w:val="20"/>
        </w:rPr>
      </w:pPr>
      <w:r>
        <w:rPr>
          <w:rFonts w:ascii="Verdana" w:hAnsi="Verdana"/>
          <w:sz w:val="20"/>
          <w:szCs w:val="20"/>
        </w:rPr>
        <w:t>107</w:t>
      </w:r>
      <w:r w:rsidR="00402DFB" w:rsidRPr="00B7366A">
        <w:rPr>
          <w:rFonts w:ascii="Verdana" w:hAnsi="Verdana"/>
          <w:sz w:val="20"/>
          <w:szCs w:val="20"/>
        </w:rPr>
        <w:t xml:space="preserve">. </w:t>
      </w:r>
      <w:r w:rsidR="00402DFB" w:rsidRPr="00B7366A">
        <w:rPr>
          <w:rFonts w:ascii="Verdana" w:hAnsi="Verdana"/>
          <w:sz w:val="20"/>
          <w:szCs w:val="20"/>
        </w:rPr>
        <w:tab/>
      </w:r>
      <w:r w:rsidR="00C852E4" w:rsidRPr="00B7366A">
        <w:rPr>
          <w:rFonts w:ascii="Verdana" w:hAnsi="Verdana"/>
          <w:sz w:val="20"/>
          <w:szCs w:val="20"/>
        </w:rPr>
        <w:t xml:space="preserve">En otra ocasión expresé que “[l]a ausencia de invocación expresa de la violación de un derecho o libertad, no impide que pueda ser analizado por el Tribunal Interamericano en virtud del principio general de derecho </w:t>
      </w:r>
      <w:proofErr w:type="spellStart"/>
      <w:r w:rsidR="00C852E4" w:rsidRPr="00B7366A">
        <w:rPr>
          <w:rFonts w:ascii="Verdana" w:hAnsi="Verdana"/>
          <w:i/>
          <w:sz w:val="20"/>
          <w:szCs w:val="20"/>
        </w:rPr>
        <w:t>iura</w:t>
      </w:r>
      <w:proofErr w:type="spellEnd"/>
      <w:r w:rsidR="00C852E4" w:rsidRPr="00B7366A">
        <w:rPr>
          <w:rFonts w:ascii="Verdana" w:hAnsi="Verdana"/>
          <w:i/>
          <w:sz w:val="20"/>
          <w:szCs w:val="20"/>
        </w:rPr>
        <w:t xml:space="preserve"> </w:t>
      </w:r>
      <w:proofErr w:type="spellStart"/>
      <w:r w:rsidR="00C852E4" w:rsidRPr="00B7366A">
        <w:rPr>
          <w:rFonts w:ascii="Verdana" w:hAnsi="Verdana"/>
          <w:i/>
          <w:sz w:val="20"/>
          <w:szCs w:val="20"/>
        </w:rPr>
        <w:t>novit</w:t>
      </w:r>
      <w:proofErr w:type="spellEnd"/>
      <w:r w:rsidR="00C852E4" w:rsidRPr="00B7366A">
        <w:rPr>
          <w:rFonts w:ascii="Verdana" w:hAnsi="Verdana"/>
          <w:i/>
          <w:sz w:val="20"/>
          <w:szCs w:val="20"/>
        </w:rPr>
        <w:t xml:space="preserve"> curia </w:t>
      </w:r>
      <w:r w:rsidR="00C852E4" w:rsidRPr="00B7366A">
        <w:rPr>
          <w:rFonts w:ascii="Verdana" w:hAnsi="Verdana"/>
          <w:sz w:val="20"/>
          <w:szCs w:val="20"/>
        </w:rPr>
        <w:t xml:space="preserve">‘del cual se ha valido reiteradamente la jurisprudencia internacional </w:t>
      </w:r>
      <w:r w:rsidR="00C852E4" w:rsidRPr="00B7366A">
        <w:rPr>
          <w:rFonts w:ascii="Verdana" w:hAnsi="Verdana"/>
          <w:sz w:val="20"/>
          <w:szCs w:val="20"/>
        </w:rPr>
        <w:sym w:font="Symbol" w:char="F05B"/>
      </w:r>
      <w:r w:rsidR="00C852E4" w:rsidRPr="00B7366A">
        <w:rPr>
          <w:rFonts w:ascii="Verdana" w:hAnsi="Verdana"/>
          <w:sz w:val="20"/>
          <w:szCs w:val="20"/>
        </w:rPr>
        <w:t>entendiéndolo</w:t>
      </w:r>
      <w:r w:rsidR="00C852E4" w:rsidRPr="00B7366A">
        <w:rPr>
          <w:rFonts w:ascii="Verdana" w:hAnsi="Verdana"/>
          <w:sz w:val="20"/>
          <w:szCs w:val="20"/>
        </w:rPr>
        <w:sym w:font="Symbol" w:char="F05D"/>
      </w:r>
      <w:r w:rsidR="00C852E4" w:rsidRPr="00B7366A">
        <w:rPr>
          <w:rFonts w:ascii="Verdana" w:hAnsi="Verdana"/>
          <w:sz w:val="20"/>
          <w:szCs w:val="20"/>
        </w:rPr>
        <w:t xml:space="preserve"> en el sentido de que el juzgador posee la facultad e inclusive el deber de aplicar las disposiciones jurídica</w:t>
      </w:r>
      <w:r w:rsidR="008162B7">
        <w:rPr>
          <w:rFonts w:ascii="Verdana" w:hAnsi="Verdana"/>
          <w:sz w:val="20"/>
          <w:szCs w:val="20"/>
        </w:rPr>
        <w:t xml:space="preserve">s </w:t>
      </w:r>
      <w:r w:rsidR="00C852E4" w:rsidRPr="00B7366A">
        <w:rPr>
          <w:rFonts w:ascii="Verdana" w:hAnsi="Verdana"/>
          <w:sz w:val="20"/>
          <w:szCs w:val="20"/>
        </w:rPr>
        <w:t>pertinentes en una causa, aun cuando las partes no las invoquen expresamente’</w:t>
      </w:r>
      <w:r w:rsidR="00C852E4" w:rsidRPr="00B7366A">
        <w:rPr>
          <w:rStyle w:val="FootnoteReference"/>
          <w:rFonts w:ascii="Verdana" w:hAnsi="Verdana"/>
          <w:sz w:val="20"/>
          <w:szCs w:val="20"/>
        </w:rPr>
        <w:footnoteReference w:id="120"/>
      </w:r>
      <w:r w:rsidR="00FD523C">
        <w:rPr>
          <w:rFonts w:ascii="Verdana" w:hAnsi="Verdana"/>
          <w:sz w:val="20"/>
          <w:szCs w:val="20"/>
        </w:rPr>
        <w:t>”; y expliqué có</w:t>
      </w:r>
      <w:r w:rsidR="00C852E4" w:rsidRPr="00B7366A">
        <w:rPr>
          <w:rFonts w:ascii="Verdana" w:hAnsi="Verdana"/>
          <w:sz w:val="20"/>
          <w:szCs w:val="20"/>
        </w:rPr>
        <w:t>mo “la invocación de este principio ha sido una práctica de los tribunales internacionales” y que en función de dicho principio “[n]o existe razón para no conocer de la posible violación de la garantía de un derecho social, derivado del artículo 26 en relación con el artículo 1.1 del Pacto de San José, a pesar de no invocarse expresamente por una de las partes”</w:t>
      </w:r>
      <w:r w:rsidR="00C852E4" w:rsidRPr="00B7366A">
        <w:rPr>
          <w:rStyle w:val="FootnoteReference"/>
          <w:rFonts w:ascii="Verdana" w:hAnsi="Verdana"/>
          <w:sz w:val="20"/>
          <w:szCs w:val="20"/>
        </w:rPr>
        <w:footnoteReference w:id="121"/>
      </w:r>
      <w:r w:rsidR="00C852E4" w:rsidRPr="00B7366A">
        <w:rPr>
          <w:rFonts w:ascii="Verdana" w:hAnsi="Verdana"/>
          <w:sz w:val="20"/>
          <w:szCs w:val="20"/>
        </w:rPr>
        <w:t xml:space="preserve">. </w:t>
      </w:r>
    </w:p>
    <w:p w14:paraId="2B4EC16A" w14:textId="77777777" w:rsidR="00C852E4" w:rsidRDefault="00C852E4" w:rsidP="00C852E4">
      <w:pPr>
        <w:tabs>
          <w:tab w:val="left" w:pos="709"/>
          <w:tab w:val="left" w:pos="9356"/>
        </w:tabs>
        <w:ind w:right="4"/>
        <w:jc w:val="both"/>
        <w:rPr>
          <w:szCs w:val="20"/>
        </w:rPr>
      </w:pPr>
    </w:p>
    <w:p w14:paraId="075EBD41" w14:textId="7FF93CEE" w:rsidR="00C852E4" w:rsidRPr="00DB01B1" w:rsidRDefault="00B7366A" w:rsidP="00C852E4">
      <w:pPr>
        <w:tabs>
          <w:tab w:val="left" w:pos="709"/>
          <w:tab w:val="left" w:pos="9356"/>
        </w:tabs>
        <w:ind w:right="4"/>
        <w:jc w:val="both"/>
        <w:rPr>
          <w:rFonts w:ascii="Verdana" w:hAnsi="Verdana"/>
          <w:sz w:val="20"/>
          <w:szCs w:val="20"/>
        </w:rPr>
      </w:pPr>
      <w:r w:rsidRPr="009B37C8">
        <w:rPr>
          <w:rFonts w:ascii="Verdana" w:hAnsi="Verdana"/>
          <w:sz w:val="20"/>
          <w:szCs w:val="20"/>
        </w:rPr>
        <w:t>108</w:t>
      </w:r>
      <w:r w:rsidR="00C852E4" w:rsidRPr="009B37C8">
        <w:rPr>
          <w:rFonts w:ascii="Verdana" w:hAnsi="Verdana"/>
          <w:sz w:val="20"/>
          <w:szCs w:val="20"/>
        </w:rPr>
        <w:t>.</w:t>
      </w:r>
      <w:r w:rsidR="00C852E4" w:rsidRPr="009B37C8">
        <w:rPr>
          <w:rFonts w:ascii="Verdana" w:hAnsi="Verdana"/>
          <w:sz w:val="20"/>
          <w:szCs w:val="20"/>
        </w:rPr>
        <w:tab/>
      </w:r>
      <w:r w:rsidR="00C852E4" w:rsidRPr="00DB01B1">
        <w:rPr>
          <w:rFonts w:ascii="Verdana" w:hAnsi="Verdana"/>
          <w:sz w:val="20"/>
          <w:szCs w:val="20"/>
        </w:rPr>
        <w:t>El caso of</w:t>
      </w:r>
      <w:r w:rsidR="00402DFB" w:rsidRPr="00DB01B1">
        <w:rPr>
          <w:rFonts w:ascii="Verdana" w:hAnsi="Verdana"/>
          <w:sz w:val="20"/>
          <w:szCs w:val="20"/>
        </w:rPr>
        <w:t>recía una base fá</w:t>
      </w:r>
      <w:r w:rsidR="00C852E4" w:rsidRPr="00DB01B1">
        <w:rPr>
          <w:rFonts w:ascii="Verdana" w:hAnsi="Verdana"/>
          <w:sz w:val="20"/>
          <w:szCs w:val="20"/>
        </w:rPr>
        <w:t xml:space="preserve">ctica suficiente para analizar la </w:t>
      </w:r>
      <w:r w:rsidR="00402DFB" w:rsidRPr="00DB01B1">
        <w:rPr>
          <w:rFonts w:ascii="Verdana" w:hAnsi="Verdana"/>
          <w:sz w:val="20"/>
          <w:szCs w:val="20"/>
        </w:rPr>
        <w:t>vulneración del derecho a la vivienda.</w:t>
      </w:r>
      <w:r w:rsidR="00C852E4" w:rsidRPr="00DB01B1">
        <w:rPr>
          <w:rFonts w:ascii="Verdana" w:hAnsi="Verdana"/>
          <w:sz w:val="20"/>
          <w:szCs w:val="20"/>
        </w:rPr>
        <w:t xml:space="preserve"> E</w:t>
      </w:r>
      <w:r w:rsidR="00402DFB" w:rsidRPr="00DB01B1">
        <w:rPr>
          <w:rFonts w:ascii="Verdana" w:hAnsi="Verdana"/>
          <w:sz w:val="20"/>
          <w:szCs w:val="20"/>
        </w:rPr>
        <w:t>n efecto, e</w:t>
      </w:r>
      <w:r w:rsidR="00C852E4" w:rsidRPr="00DB01B1">
        <w:rPr>
          <w:rFonts w:ascii="Verdana" w:hAnsi="Verdana"/>
          <w:sz w:val="20"/>
          <w:szCs w:val="20"/>
        </w:rPr>
        <w:t>l párrafo 2</w:t>
      </w:r>
      <w:r w:rsidR="00F52730">
        <w:rPr>
          <w:rFonts w:ascii="Verdana" w:hAnsi="Verdana"/>
          <w:sz w:val="20"/>
          <w:szCs w:val="20"/>
        </w:rPr>
        <w:t>59</w:t>
      </w:r>
      <w:r w:rsidR="00C852E4" w:rsidRPr="00DB01B1">
        <w:rPr>
          <w:rFonts w:ascii="Verdana" w:hAnsi="Verdana"/>
          <w:sz w:val="20"/>
          <w:szCs w:val="20"/>
        </w:rPr>
        <w:t xml:space="preserve"> de la Sentencia explica que “está probado que en el presente caso luego del abandono de las casas de habitación por las </w:t>
      </w:r>
      <w:r w:rsidR="00C852E4" w:rsidRPr="00DB01B1">
        <w:rPr>
          <w:rFonts w:ascii="Verdana" w:hAnsi="Verdana"/>
          <w:sz w:val="20"/>
          <w:szCs w:val="20"/>
        </w:rPr>
        <w:lastRenderedPageBreak/>
        <w:t>señoras Rúa y Ospina y sus familiares, las mismas progresivamente fueron desmantelas hasta quedar en ruinas, y saqueadas por parte de terceros”</w:t>
      </w:r>
      <w:r w:rsidR="009D6571" w:rsidRPr="00DB01B1">
        <w:rPr>
          <w:rStyle w:val="FootnoteReference"/>
          <w:rFonts w:ascii="Verdana" w:hAnsi="Verdana"/>
          <w:sz w:val="20"/>
          <w:szCs w:val="20"/>
        </w:rPr>
        <w:t xml:space="preserve"> </w:t>
      </w:r>
      <w:r w:rsidR="009D6571" w:rsidRPr="00DB01B1">
        <w:rPr>
          <w:rStyle w:val="FootnoteReference"/>
          <w:rFonts w:ascii="Verdana" w:hAnsi="Verdana"/>
          <w:sz w:val="20"/>
          <w:szCs w:val="20"/>
        </w:rPr>
        <w:footnoteReference w:id="122"/>
      </w:r>
      <w:r w:rsidR="00C852E4" w:rsidRPr="00DB01B1">
        <w:rPr>
          <w:rFonts w:ascii="Verdana" w:hAnsi="Verdana"/>
          <w:sz w:val="20"/>
          <w:szCs w:val="20"/>
        </w:rPr>
        <w:t xml:space="preserve">. </w:t>
      </w:r>
    </w:p>
    <w:p w14:paraId="588F0D80" w14:textId="77777777" w:rsidR="00C852E4" w:rsidRPr="00A74776" w:rsidRDefault="00C852E4" w:rsidP="00C852E4">
      <w:pPr>
        <w:tabs>
          <w:tab w:val="left" w:pos="709"/>
          <w:tab w:val="left" w:pos="9356"/>
        </w:tabs>
        <w:ind w:right="4"/>
        <w:jc w:val="both"/>
        <w:rPr>
          <w:rFonts w:ascii="Verdana" w:hAnsi="Verdana"/>
          <w:sz w:val="20"/>
          <w:szCs w:val="20"/>
          <w:highlight w:val="cyan"/>
        </w:rPr>
      </w:pPr>
    </w:p>
    <w:p w14:paraId="0305CBC2" w14:textId="755CA5E1" w:rsidR="00C852E4" w:rsidRPr="00DB01B1" w:rsidRDefault="00B7366A" w:rsidP="00C852E4">
      <w:pPr>
        <w:tabs>
          <w:tab w:val="left" w:pos="709"/>
          <w:tab w:val="left" w:pos="9356"/>
        </w:tabs>
        <w:ind w:right="4"/>
        <w:jc w:val="both"/>
        <w:rPr>
          <w:rFonts w:ascii="Verdana" w:hAnsi="Verdana"/>
          <w:sz w:val="20"/>
          <w:szCs w:val="20"/>
          <w:highlight w:val="yellow"/>
        </w:rPr>
      </w:pPr>
      <w:r w:rsidRPr="00DB01B1">
        <w:rPr>
          <w:rFonts w:ascii="Verdana" w:hAnsi="Verdana"/>
          <w:sz w:val="20"/>
          <w:szCs w:val="20"/>
        </w:rPr>
        <w:t>109</w:t>
      </w:r>
      <w:r w:rsidR="00C852E4" w:rsidRPr="00DB01B1">
        <w:rPr>
          <w:rFonts w:ascii="Verdana" w:hAnsi="Verdana"/>
          <w:sz w:val="20"/>
          <w:szCs w:val="20"/>
        </w:rPr>
        <w:t>.</w:t>
      </w:r>
      <w:r w:rsidR="00C852E4" w:rsidRPr="00DB01B1">
        <w:rPr>
          <w:rFonts w:ascii="Verdana" w:hAnsi="Verdana"/>
          <w:sz w:val="20"/>
          <w:szCs w:val="20"/>
        </w:rPr>
        <w:tab/>
        <w:t>Al respecto, debe notarse que en el párrafo 107 de la Sentencia, como parte de los hechos del caso analizados por la Corte</w:t>
      </w:r>
      <w:r w:rsidR="00402DFB" w:rsidRPr="00DB01B1">
        <w:rPr>
          <w:rFonts w:ascii="Verdana" w:hAnsi="Verdana"/>
          <w:sz w:val="20"/>
          <w:szCs w:val="20"/>
        </w:rPr>
        <w:t xml:space="preserve"> IDH</w:t>
      </w:r>
      <w:r w:rsidR="00C852E4" w:rsidRPr="00DB01B1">
        <w:rPr>
          <w:rFonts w:ascii="Verdana" w:hAnsi="Verdana"/>
          <w:sz w:val="20"/>
          <w:szCs w:val="20"/>
        </w:rPr>
        <w:t>, se lee que</w:t>
      </w:r>
      <w:r w:rsidR="009D6571" w:rsidRPr="00DB01B1">
        <w:rPr>
          <w:rFonts w:ascii="Verdana" w:hAnsi="Verdana"/>
          <w:sz w:val="20"/>
          <w:szCs w:val="20"/>
        </w:rPr>
        <w:t>:</w:t>
      </w:r>
      <w:r w:rsidR="00C852E4" w:rsidRPr="00DB01B1">
        <w:rPr>
          <w:rFonts w:ascii="Verdana" w:hAnsi="Verdana"/>
          <w:sz w:val="20"/>
          <w:szCs w:val="20"/>
        </w:rPr>
        <w:t xml:space="preserve"> “[l]</w:t>
      </w:r>
      <w:r w:rsidR="00C852E4" w:rsidRPr="00DB01B1">
        <w:rPr>
          <w:rFonts w:ascii="Verdana" w:hAnsi="Verdana" w:cs="Arial"/>
          <w:sz w:val="20"/>
          <w:szCs w:val="20"/>
          <w:lang w:val="es-CO"/>
        </w:rPr>
        <w:t>a señora Rúa se vio obligada a dejar la Comuna 13 e</w:t>
      </w:r>
      <w:r w:rsidR="00605236">
        <w:rPr>
          <w:rFonts w:ascii="Verdana" w:hAnsi="Verdana" w:cs="Arial"/>
          <w:sz w:val="20"/>
          <w:szCs w:val="20"/>
          <w:lang w:val="es-CO"/>
        </w:rPr>
        <w:t>ntre el 24 y 26</w:t>
      </w:r>
      <w:r w:rsidR="00C852E4" w:rsidRPr="00DB01B1">
        <w:rPr>
          <w:rFonts w:ascii="Verdana" w:hAnsi="Verdana" w:cs="Arial"/>
          <w:sz w:val="20"/>
          <w:szCs w:val="20"/>
          <w:lang w:val="es-CO"/>
        </w:rPr>
        <w:t xml:space="preserve"> de junio de 2002, junto con sus hijas y su compañero permanente. […]</w:t>
      </w:r>
      <w:r w:rsidR="00C852E4" w:rsidRPr="00DB01B1">
        <w:rPr>
          <w:rFonts w:ascii="Verdana" w:hAnsi="Verdana"/>
          <w:sz w:val="20"/>
          <w:szCs w:val="20"/>
          <w:lang w:val="es-CR"/>
        </w:rPr>
        <w:t xml:space="preserve"> El 8 de julio de 2002 presentó una denuncia penal por el desplazamiento, señalando lo ocurrido a ella y sus familiares, en la que también refirió que</w:t>
      </w:r>
      <w:r w:rsidR="00C852E4" w:rsidRPr="00DB01B1">
        <w:rPr>
          <w:rFonts w:ascii="Verdana" w:hAnsi="Verdana" w:cs="Arial"/>
          <w:sz w:val="20"/>
          <w:szCs w:val="20"/>
          <w:lang w:val="es-CR"/>
        </w:rPr>
        <w:t xml:space="preserve"> el 27 de junio de 2002 se enteró que su casa había sido ocupada por paramilitares que habían dicho públicamente que sabían que se trataba de la vivienda de la Presidenta de la [Junta de Acción Comunal (JAC)], y que el inmueble había sido destruido de modo progresivo. </w:t>
      </w:r>
      <w:r w:rsidR="00C852E4" w:rsidRPr="00DB01B1">
        <w:rPr>
          <w:rFonts w:ascii="Verdana" w:hAnsi="Verdana"/>
          <w:sz w:val="20"/>
          <w:szCs w:val="20"/>
          <w:lang w:val="es-CR"/>
        </w:rPr>
        <w:t>La señora Rúa y sus familiares no han regresado al barrio y viven actualmente en un municipio cercano a la ciudad de Medellín; ella no ha podido reanudar sus actividades en la JAC”</w:t>
      </w:r>
      <w:r w:rsidR="009D6571" w:rsidRPr="00DB01B1">
        <w:rPr>
          <w:rStyle w:val="FootnoteReference"/>
          <w:rFonts w:ascii="Verdana" w:hAnsi="Verdana"/>
          <w:sz w:val="20"/>
          <w:szCs w:val="20"/>
          <w:lang w:val="es-CR"/>
        </w:rPr>
        <w:t xml:space="preserve"> </w:t>
      </w:r>
      <w:r w:rsidR="009D6571" w:rsidRPr="00DB01B1">
        <w:rPr>
          <w:rStyle w:val="FootnoteReference"/>
          <w:rFonts w:ascii="Verdana" w:hAnsi="Verdana"/>
          <w:sz w:val="20"/>
          <w:szCs w:val="20"/>
          <w:lang w:val="es-CR"/>
        </w:rPr>
        <w:footnoteReference w:id="123"/>
      </w:r>
      <w:r w:rsidR="009D6571" w:rsidRPr="00DB01B1">
        <w:rPr>
          <w:rFonts w:ascii="Verdana" w:hAnsi="Verdana"/>
          <w:sz w:val="20"/>
          <w:szCs w:val="20"/>
          <w:lang w:val="es-CR"/>
        </w:rPr>
        <w:t>.</w:t>
      </w:r>
      <w:r w:rsidR="00C852E4" w:rsidRPr="00DB01B1">
        <w:rPr>
          <w:rFonts w:ascii="Verdana" w:hAnsi="Verdana"/>
          <w:sz w:val="20"/>
          <w:szCs w:val="20"/>
          <w:lang w:val="es-CR"/>
        </w:rPr>
        <w:t xml:space="preserve"> </w:t>
      </w:r>
      <w:r w:rsidR="00C852E4" w:rsidRPr="002F6466">
        <w:rPr>
          <w:rFonts w:ascii="Verdana" w:hAnsi="Verdana"/>
          <w:sz w:val="20"/>
          <w:szCs w:val="20"/>
          <w:lang w:val="es-CR"/>
        </w:rPr>
        <w:t>El párrafo 22</w:t>
      </w:r>
      <w:r w:rsidR="008248F0">
        <w:rPr>
          <w:rFonts w:ascii="Verdana" w:hAnsi="Verdana"/>
          <w:sz w:val="20"/>
          <w:szCs w:val="20"/>
          <w:lang w:val="es-CR"/>
        </w:rPr>
        <w:t>8</w:t>
      </w:r>
      <w:r w:rsidR="00C852E4" w:rsidRPr="002F6466">
        <w:rPr>
          <w:rFonts w:ascii="Verdana" w:hAnsi="Verdana"/>
          <w:sz w:val="20"/>
          <w:szCs w:val="20"/>
          <w:lang w:val="es-CR"/>
        </w:rPr>
        <w:t xml:space="preserve"> de la Sentencia informa también que la señora Rúa y su familia “</w:t>
      </w:r>
      <w:r w:rsidR="00C852E4" w:rsidRPr="002F6466">
        <w:rPr>
          <w:rFonts w:ascii="Verdana" w:hAnsi="Verdana"/>
          <w:sz w:val="20"/>
          <w:szCs w:val="20"/>
        </w:rPr>
        <w:t>no han podido recuperar ningún objeto de su casa”</w:t>
      </w:r>
      <w:r w:rsidR="009D6571" w:rsidRPr="002F6466">
        <w:rPr>
          <w:rStyle w:val="FootnoteReference"/>
          <w:rFonts w:ascii="Verdana" w:hAnsi="Verdana"/>
          <w:sz w:val="20"/>
          <w:szCs w:val="20"/>
        </w:rPr>
        <w:footnoteReference w:id="124"/>
      </w:r>
      <w:r w:rsidR="009D6571" w:rsidRPr="002F6466">
        <w:rPr>
          <w:rFonts w:ascii="Verdana" w:hAnsi="Verdana"/>
          <w:sz w:val="20"/>
          <w:szCs w:val="20"/>
        </w:rPr>
        <w:t>.</w:t>
      </w:r>
    </w:p>
    <w:p w14:paraId="1066864E" w14:textId="77777777" w:rsidR="00C852E4" w:rsidRPr="00DB01B1" w:rsidRDefault="00C852E4" w:rsidP="00C852E4">
      <w:pPr>
        <w:tabs>
          <w:tab w:val="left" w:pos="709"/>
          <w:tab w:val="left" w:pos="9356"/>
        </w:tabs>
        <w:ind w:right="4"/>
        <w:jc w:val="both"/>
        <w:rPr>
          <w:rFonts w:ascii="Verdana" w:hAnsi="Verdana"/>
          <w:sz w:val="20"/>
          <w:szCs w:val="20"/>
          <w:highlight w:val="yellow"/>
        </w:rPr>
      </w:pPr>
    </w:p>
    <w:p w14:paraId="483B13FD" w14:textId="0E34B103" w:rsidR="00C852E4" w:rsidRPr="00DB01B1" w:rsidRDefault="00B7366A" w:rsidP="00C852E4">
      <w:pPr>
        <w:tabs>
          <w:tab w:val="left" w:pos="709"/>
          <w:tab w:val="left" w:pos="9356"/>
        </w:tabs>
        <w:ind w:right="4"/>
        <w:jc w:val="both"/>
        <w:rPr>
          <w:rFonts w:ascii="Verdana" w:hAnsi="Verdana"/>
          <w:sz w:val="20"/>
          <w:szCs w:val="20"/>
        </w:rPr>
      </w:pPr>
      <w:r w:rsidRPr="00DB01B1">
        <w:rPr>
          <w:rFonts w:ascii="Verdana" w:hAnsi="Verdana"/>
          <w:sz w:val="20"/>
          <w:szCs w:val="20"/>
        </w:rPr>
        <w:t>110</w:t>
      </w:r>
      <w:r w:rsidR="00C852E4" w:rsidRPr="00DB01B1">
        <w:rPr>
          <w:rFonts w:ascii="Verdana" w:hAnsi="Verdana"/>
          <w:sz w:val="20"/>
          <w:szCs w:val="20"/>
        </w:rPr>
        <w:t>.</w:t>
      </w:r>
      <w:r w:rsidR="00C852E4" w:rsidRPr="00DB01B1">
        <w:rPr>
          <w:rFonts w:ascii="Verdana" w:hAnsi="Verdana"/>
          <w:sz w:val="20"/>
          <w:szCs w:val="20"/>
        </w:rPr>
        <w:tab/>
      </w:r>
      <w:r w:rsidR="00285FAA" w:rsidRPr="00DB01B1">
        <w:rPr>
          <w:rFonts w:ascii="Verdana" w:hAnsi="Verdana"/>
          <w:sz w:val="20"/>
          <w:szCs w:val="20"/>
        </w:rPr>
        <w:t>El párrafo 2</w:t>
      </w:r>
      <w:r w:rsidR="008248F0">
        <w:rPr>
          <w:rFonts w:ascii="Verdana" w:hAnsi="Verdana"/>
          <w:sz w:val="20"/>
          <w:szCs w:val="20"/>
        </w:rPr>
        <w:t>29</w:t>
      </w:r>
      <w:r w:rsidR="00C852E4" w:rsidRPr="00DB01B1">
        <w:rPr>
          <w:rFonts w:ascii="Verdana" w:hAnsi="Verdana"/>
          <w:sz w:val="20"/>
          <w:szCs w:val="20"/>
        </w:rPr>
        <w:t xml:space="preserve"> </w:t>
      </w:r>
      <w:r w:rsidR="00402DFB" w:rsidRPr="00DB01B1">
        <w:rPr>
          <w:rFonts w:ascii="Verdana" w:hAnsi="Verdana"/>
          <w:sz w:val="20"/>
          <w:szCs w:val="20"/>
        </w:rPr>
        <w:t xml:space="preserve">de la Sentencia </w:t>
      </w:r>
      <w:r w:rsidR="00C852E4" w:rsidRPr="00DB01B1">
        <w:rPr>
          <w:rFonts w:ascii="Verdana" w:hAnsi="Verdana"/>
          <w:sz w:val="20"/>
          <w:szCs w:val="20"/>
        </w:rPr>
        <w:t xml:space="preserve">refieren lo siguiente: </w:t>
      </w:r>
    </w:p>
    <w:p w14:paraId="1D7A9D7D" w14:textId="77777777" w:rsidR="00C852E4" w:rsidRPr="00A74776" w:rsidRDefault="00C852E4" w:rsidP="00C852E4">
      <w:pPr>
        <w:tabs>
          <w:tab w:val="left" w:pos="709"/>
          <w:tab w:val="left" w:pos="9356"/>
        </w:tabs>
        <w:ind w:right="4"/>
        <w:jc w:val="both"/>
        <w:rPr>
          <w:highlight w:val="cyan"/>
        </w:rPr>
      </w:pPr>
    </w:p>
    <w:p w14:paraId="03F89051" w14:textId="5E7BC809" w:rsidR="00C852E4" w:rsidRPr="00DB01B1" w:rsidRDefault="00C852E4" w:rsidP="00B16B13">
      <w:pPr>
        <w:tabs>
          <w:tab w:val="left" w:pos="709"/>
          <w:tab w:val="left" w:pos="7920"/>
          <w:tab w:val="left" w:pos="9356"/>
        </w:tabs>
        <w:ind w:left="709" w:right="616"/>
        <w:jc w:val="both"/>
        <w:rPr>
          <w:rFonts w:ascii="Verdana" w:hAnsi="Verdana"/>
          <w:sz w:val="16"/>
          <w:szCs w:val="16"/>
        </w:rPr>
      </w:pPr>
      <w:r w:rsidRPr="00DB01B1">
        <w:rPr>
          <w:rFonts w:ascii="Verdana" w:hAnsi="Verdana"/>
          <w:sz w:val="16"/>
          <w:szCs w:val="16"/>
        </w:rPr>
        <w:t>[</w:t>
      </w:r>
      <w:proofErr w:type="gramStart"/>
      <w:r w:rsidRPr="00DB01B1">
        <w:rPr>
          <w:rFonts w:ascii="Verdana" w:hAnsi="Verdana"/>
          <w:sz w:val="16"/>
          <w:szCs w:val="16"/>
        </w:rPr>
        <w:t>e]</w:t>
      </w:r>
      <w:proofErr w:type="gramEnd"/>
      <w:r w:rsidRPr="00DB01B1">
        <w:rPr>
          <w:rFonts w:ascii="Verdana" w:hAnsi="Verdana"/>
          <w:sz w:val="16"/>
          <w:szCs w:val="16"/>
        </w:rPr>
        <w:t>l 10 de julio de 2002 [el órgano competente] certificó que la señora Rúa perdió su vivienda y todos sus</w:t>
      </w:r>
      <w:r w:rsidR="00B16B13">
        <w:rPr>
          <w:rFonts w:ascii="Verdana" w:hAnsi="Verdana"/>
          <w:sz w:val="16"/>
          <w:szCs w:val="16"/>
        </w:rPr>
        <w:t xml:space="preserve"> enseres el miércoles [cuando] “</w:t>
      </w:r>
      <w:r w:rsidRPr="00DB01B1">
        <w:rPr>
          <w:rFonts w:ascii="Verdana" w:hAnsi="Verdana"/>
          <w:sz w:val="16"/>
          <w:szCs w:val="16"/>
        </w:rPr>
        <w:t>debió desplazarse a otr</w:t>
      </w:r>
      <w:r w:rsidR="008162B7" w:rsidRPr="00DB01B1">
        <w:rPr>
          <w:rFonts w:ascii="Verdana" w:hAnsi="Verdana"/>
          <w:sz w:val="16"/>
          <w:szCs w:val="16"/>
        </w:rPr>
        <w:t>o lugar en busca de seguridad</w:t>
      </w:r>
      <w:r w:rsidRPr="00DB01B1">
        <w:rPr>
          <w:rFonts w:ascii="Verdana" w:hAnsi="Verdana"/>
          <w:sz w:val="16"/>
          <w:szCs w:val="16"/>
        </w:rPr>
        <w:t>”. La señora Rúa</w:t>
      </w:r>
      <w:r w:rsidR="00B16B13">
        <w:rPr>
          <w:rFonts w:ascii="Verdana" w:hAnsi="Verdana"/>
          <w:sz w:val="16"/>
          <w:szCs w:val="16"/>
        </w:rPr>
        <w:t xml:space="preserve"> solicitó su inscripción en el “</w:t>
      </w:r>
      <w:r w:rsidRPr="00DB01B1">
        <w:rPr>
          <w:rFonts w:ascii="Verdana" w:hAnsi="Verdana"/>
          <w:sz w:val="16"/>
          <w:szCs w:val="16"/>
        </w:rPr>
        <w:t>Registro Único de Desplazados</w:t>
      </w:r>
      <w:r w:rsidR="00B16B13">
        <w:rPr>
          <w:rFonts w:ascii="Verdana" w:hAnsi="Verdana"/>
          <w:sz w:val="16"/>
          <w:szCs w:val="16"/>
        </w:rPr>
        <w:t>”</w:t>
      </w:r>
      <w:r w:rsidRPr="00DB01B1">
        <w:rPr>
          <w:rFonts w:ascii="Verdana" w:hAnsi="Verdana"/>
          <w:sz w:val="16"/>
          <w:szCs w:val="16"/>
        </w:rPr>
        <w:t xml:space="preserve"> </w:t>
      </w:r>
      <w:r w:rsidR="00B16B13">
        <w:rPr>
          <w:rFonts w:ascii="Verdana" w:hAnsi="Verdana"/>
          <w:sz w:val="16"/>
          <w:szCs w:val="16"/>
        </w:rPr>
        <w:t>e</w:t>
      </w:r>
      <w:r w:rsidRPr="00DB01B1">
        <w:rPr>
          <w:rFonts w:ascii="Verdana" w:hAnsi="Verdana"/>
          <w:sz w:val="16"/>
          <w:szCs w:val="16"/>
        </w:rPr>
        <w:t xml:space="preserve">n varias oportunidades desde el año 2002 hasta el 2010, sin lograrlo, aun cuando presentó dos acciones de tutela. Sin embargo, el 6 de marzo de 2014 la Unidad para la Atención y Reparación </w:t>
      </w:r>
      <w:r w:rsidR="001E6EBD" w:rsidRPr="0086493F">
        <w:rPr>
          <w:rFonts w:ascii="Verdana" w:hAnsi="Verdana"/>
          <w:sz w:val="16"/>
          <w:szCs w:val="16"/>
        </w:rPr>
        <w:t xml:space="preserve">Integral </w:t>
      </w:r>
      <w:r w:rsidRPr="00DB01B1">
        <w:rPr>
          <w:rFonts w:ascii="Verdana" w:hAnsi="Verdana"/>
          <w:sz w:val="16"/>
          <w:szCs w:val="16"/>
        </w:rPr>
        <w:t>a las Víctimas, revocó anteriores decisiones y ordenó inscribirla como desplazada. Por otro lado, el 16 de abril de 2007, luego de cinco años de haberse desplazado, Acción Social asignó un único monto de ayuda humanitaria a la señora Rúa, por un valor de $618,000 pesos colombianos</w:t>
      </w:r>
      <w:r w:rsidR="009D6571" w:rsidRPr="00DB01B1">
        <w:rPr>
          <w:rStyle w:val="FootnoteReference"/>
          <w:rFonts w:ascii="Verdana" w:hAnsi="Verdana"/>
          <w:sz w:val="16"/>
          <w:szCs w:val="16"/>
        </w:rPr>
        <w:t xml:space="preserve"> </w:t>
      </w:r>
      <w:r w:rsidR="009D6571" w:rsidRPr="00DB01B1">
        <w:rPr>
          <w:rStyle w:val="FootnoteReference"/>
          <w:rFonts w:ascii="Verdana" w:hAnsi="Verdana"/>
          <w:sz w:val="16"/>
          <w:szCs w:val="16"/>
        </w:rPr>
        <w:footnoteReference w:id="125"/>
      </w:r>
      <w:r w:rsidRPr="00DB01B1">
        <w:rPr>
          <w:rFonts w:ascii="Verdana" w:hAnsi="Verdana"/>
          <w:sz w:val="16"/>
          <w:szCs w:val="16"/>
        </w:rPr>
        <w:t xml:space="preserve">. </w:t>
      </w:r>
    </w:p>
    <w:p w14:paraId="71C526F9" w14:textId="77777777" w:rsidR="00C852E4" w:rsidRPr="00DB01B1" w:rsidRDefault="00C852E4" w:rsidP="00C852E4">
      <w:pPr>
        <w:tabs>
          <w:tab w:val="left" w:pos="709"/>
          <w:tab w:val="left" w:pos="9356"/>
        </w:tabs>
        <w:ind w:right="4"/>
        <w:jc w:val="both"/>
      </w:pPr>
    </w:p>
    <w:p w14:paraId="33751D76" w14:textId="01E678F1" w:rsidR="00C852E4" w:rsidRPr="00DB01B1" w:rsidRDefault="00B7366A" w:rsidP="00C852E4">
      <w:pPr>
        <w:tabs>
          <w:tab w:val="left" w:pos="709"/>
          <w:tab w:val="left" w:pos="9356"/>
        </w:tabs>
        <w:ind w:right="4"/>
        <w:jc w:val="both"/>
        <w:rPr>
          <w:rFonts w:ascii="Verdana" w:hAnsi="Verdana"/>
          <w:sz w:val="20"/>
          <w:szCs w:val="20"/>
        </w:rPr>
      </w:pPr>
      <w:r w:rsidRPr="00DB01B1">
        <w:rPr>
          <w:rFonts w:ascii="Verdana" w:hAnsi="Verdana"/>
          <w:sz w:val="20"/>
          <w:szCs w:val="20"/>
        </w:rPr>
        <w:t>111</w:t>
      </w:r>
      <w:r w:rsidR="00C852E4" w:rsidRPr="00DB01B1">
        <w:rPr>
          <w:rFonts w:ascii="Verdana" w:hAnsi="Verdana"/>
          <w:sz w:val="20"/>
          <w:szCs w:val="20"/>
        </w:rPr>
        <w:t>.</w:t>
      </w:r>
      <w:r w:rsidR="00C852E4" w:rsidRPr="00DB01B1">
        <w:rPr>
          <w:rFonts w:ascii="Verdana" w:hAnsi="Verdana"/>
          <w:sz w:val="20"/>
          <w:szCs w:val="20"/>
        </w:rPr>
        <w:tab/>
        <w:t xml:space="preserve">Entre las consecuencias que la señora Rúa manifestó por lo sucedido, mencionó que “se vio afectada su </w:t>
      </w:r>
      <w:proofErr w:type="gramStart"/>
      <w:r w:rsidR="00C852E4" w:rsidRPr="00DB01B1">
        <w:rPr>
          <w:rFonts w:ascii="Verdana" w:hAnsi="Verdana"/>
          <w:sz w:val="20"/>
          <w:szCs w:val="20"/>
        </w:rPr>
        <w:t>familia[</w:t>
      </w:r>
      <w:proofErr w:type="gramEnd"/>
      <w:r w:rsidR="00C852E4" w:rsidRPr="00DB01B1">
        <w:rPr>
          <w:rFonts w:ascii="Verdana" w:hAnsi="Verdana"/>
          <w:sz w:val="20"/>
          <w:szCs w:val="20"/>
        </w:rPr>
        <w:t>,] expresó que ‘[sus] hijas […] no [pudieron] vivir su infancia y adolescencia en un ambiente seguro, [</w:t>
      </w:r>
      <w:r w:rsidR="001E6EBD" w:rsidRPr="0086493F">
        <w:rPr>
          <w:rFonts w:ascii="Verdana" w:hAnsi="Verdana"/>
          <w:sz w:val="20"/>
          <w:szCs w:val="20"/>
        </w:rPr>
        <w:t>y que</w:t>
      </w:r>
      <w:r w:rsidR="00C852E4" w:rsidRPr="00DB01B1">
        <w:rPr>
          <w:rFonts w:ascii="Verdana" w:hAnsi="Verdana"/>
          <w:sz w:val="20"/>
          <w:szCs w:val="20"/>
        </w:rPr>
        <w:t>] ahora manifiestan situaciones de miedo e inseguridad ante cualquier ruido que puedan asociar con disparos’</w:t>
      </w:r>
      <w:r w:rsidR="001E6EBD" w:rsidRPr="0086493F">
        <w:rPr>
          <w:rFonts w:ascii="Verdana" w:hAnsi="Verdana"/>
          <w:sz w:val="20"/>
          <w:szCs w:val="20"/>
        </w:rPr>
        <w:t>”</w:t>
      </w:r>
      <w:r w:rsidR="00C852E4" w:rsidRPr="00DB01B1">
        <w:rPr>
          <w:rFonts w:ascii="Verdana" w:hAnsi="Verdana"/>
          <w:sz w:val="20"/>
          <w:szCs w:val="20"/>
        </w:rPr>
        <w:t>.</w:t>
      </w:r>
      <w:r w:rsidR="00C852E4" w:rsidRPr="00DB01B1">
        <w:rPr>
          <w:rFonts w:ascii="Verdana" w:hAnsi="Verdana" w:cs="Arial"/>
          <w:sz w:val="20"/>
          <w:szCs w:val="20"/>
        </w:rPr>
        <w:t xml:space="preserve"> “Manuela Palacio Rúa, hija de la señora Rúa, declaró que sufrió la ‘pérdida del espacio donde </w:t>
      </w:r>
      <w:proofErr w:type="gramStart"/>
      <w:r w:rsidR="00C852E4" w:rsidRPr="00DB01B1">
        <w:rPr>
          <w:rFonts w:ascii="Verdana" w:hAnsi="Verdana" w:cs="Arial"/>
          <w:sz w:val="20"/>
          <w:szCs w:val="20"/>
        </w:rPr>
        <w:t>viví[</w:t>
      </w:r>
      <w:proofErr w:type="spellStart"/>
      <w:proofErr w:type="gramEnd"/>
      <w:r w:rsidR="00C852E4" w:rsidRPr="00DB01B1">
        <w:rPr>
          <w:rFonts w:ascii="Verdana" w:hAnsi="Verdana" w:cs="Arial"/>
          <w:sz w:val="20"/>
          <w:szCs w:val="20"/>
        </w:rPr>
        <w:t>an</w:t>
      </w:r>
      <w:proofErr w:type="spellEnd"/>
      <w:r w:rsidR="00C852E4" w:rsidRPr="00DB01B1">
        <w:rPr>
          <w:rFonts w:ascii="Verdana" w:hAnsi="Verdana" w:cs="Arial"/>
          <w:sz w:val="20"/>
          <w:szCs w:val="20"/>
        </w:rPr>
        <w:t>], desarraigo con amigos y amigas, desarraigo de un entorno donde [se] sentía cómoda y feliz’</w:t>
      </w:r>
      <w:r w:rsidR="001E6EBD" w:rsidRPr="0086493F">
        <w:rPr>
          <w:rFonts w:ascii="Verdana" w:hAnsi="Verdana" w:cs="Arial"/>
          <w:sz w:val="20"/>
          <w:szCs w:val="20"/>
        </w:rPr>
        <w:t>”</w:t>
      </w:r>
      <w:r w:rsidR="007C1B84" w:rsidRPr="00DB01B1">
        <w:rPr>
          <w:rStyle w:val="FootnoteReference"/>
          <w:rFonts w:ascii="Verdana" w:hAnsi="Verdana" w:cs="Arial"/>
          <w:sz w:val="20"/>
          <w:szCs w:val="20"/>
        </w:rPr>
        <w:footnoteReference w:id="126"/>
      </w:r>
      <w:r w:rsidR="00C852E4" w:rsidRPr="00DB01B1">
        <w:rPr>
          <w:rFonts w:ascii="Verdana" w:hAnsi="Verdana" w:cs="Arial"/>
          <w:sz w:val="20"/>
          <w:szCs w:val="20"/>
        </w:rPr>
        <w:t>.</w:t>
      </w:r>
    </w:p>
    <w:p w14:paraId="2EF80D36" w14:textId="77777777" w:rsidR="00C852E4" w:rsidRPr="00DB01B1" w:rsidRDefault="00C852E4" w:rsidP="00C852E4">
      <w:pPr>
        <w:tabs>
          <w:tab w:val="left" w:pos="709"/>
          <w:tab w:val="left" w:pos="9356"/>
        </w:tabs>
        <w:ind w:right="4"/>
        <w:jc w:val="both"/>
        <w:rPr>
          <w:lang w:val="es-MX"/>
        </w:rPr>
      </w:pPr>
    </w:p>
    <w:p w14:paraId="7D1FA62F" w14:textId="5FFCBC19" w:rsidR="00C852E4" w:rsidRPr="00DB01B1" w:rsidRDefault="00B7366A" w:rsidP="00C852E4">
      <w:pPr>
        <w:pStyle w:val="ListParagraph"/>
        <w:ind w:left="0"/>
        <w:contextualSpacing w:val="0"/>
        <w:jc w:val="both"/>
        <w:rPr>
          <w:rFonts w:ascii="Verdana" w:hAnsi="Verdana" w:cs="Arial"/>
          <w:sz w:val="20"/>
          <w:szCs w:val="20"/>
          <w:lang w:val="es-CO"/>
        </w:rPr>
      </w:pPr>
      <w:r w:rsidRPr="00DB01B1">
        <w:rPr>
          <w:rFonts w:ascii="Verdana" w:hAnsi="Verdana"/>
          <w:sz w:val="20"/>
          <w:szCs w:val="20"/>
          <w:lang w:val="es-MX"/>
        </w:rPr>
        <w:t>112</w:t>
      </w:r>
      <w:r w:rsidR="00C852E4" w:rsidRPr="00DB01B1">
        <w:rPr>
          <w:rFonts w:ascii="Verdana" w:hAnsi="Verdana"/>
          <w:sz w:val="20"/>
          <w:szCs w:val="20"/>
          <w:lang w:val="es-MX"/>
        </w:rPr>
        <w:t>.</w:t>
      </w:r>
      <w:r w:rsidR="00C852E4" w:rsidRPr="00DB01B1">
        <w:rPr>
          <w:rFonts w:ascii="Verdana" w:hAnsi="Verdana"/>
          <w:sz w:val="20"/>
          <w:szCs w:val="20"/>
          <w:lang w:val="es-MX"/>
        </w:rPr>
        <w:tab/>
      </w:r>
      <w:r w:rsidR="00C852E4" w:rsidRPr="00DB01B1">
        <w:rPr>
          <w:rFonts w:ascii="Verdana" w:hAnsi="Verdana"/>
          <w:sz w:val="20"/>
          <w:szCs w:val="20"/>
        </w:rPr>
        <w:t>El párrafo 109 de la Sentencia señala</w:t>
      </w:r>
      <w:r w:rsidR="00402DFB" w:rsidRPr="00DB01B1">
        <w:rPr>
          <w:rFonts w:ascii="Verdana" w:hAnsi="Verdana"/>
          <w:sz w:val="20"/>
          <w:szCs w:val="20"/>
        </w:rPr>
        <w:t>:</w:t>
      </w:r>
      <w:r w:rsidR="00C852E4" w:rsidRPr="00DB01B1">
        <w:rPr>
          <w:rFonts w:ascii="Verdana" w:hAnsi="Verdana"/>
          <w:sz w:val="20"/>
          <w:szCs w:val="20"/>
        </w:rPr>
        <w:t xml:space="preserve"> “</w:t>
      </w:r>
      <w:r w:rsidR="00C852E4" w:rsidRPr="00DB01B1">
        <w:rPr>
          <w:rFonts w:ascii="Verdana" w:hAnsi="Verdana" w:cs="Arial"/>
          <w:sz w:val="20"/>
          <w:szCs w:val="20"/>
          <w:lang w:val="es-CR"/>
        </w:rPr>
        <w:t>La señora Ospina, el 12 de noviembre de 2002, se fue del barrio con su esposo y sus tres hijos”, y que las propias autoridades judiciales, más tarde, “</w:t>
      </w:r>
      <w:r w:rsidR="00C852E4" w:rsidRPr="00DB01B1">
        <w:rPr>
          <w:rFonts w:ascii="Verdana" w:hAnsi="Verdana" w:cs="Arial"/>
          <w:sz w:val="20"/>
          <w:szCs w:val="20"/>
          <w:lang w:val="es-CO"/>
        </w:rPr>
        <w:t xml:space="preserve">establecieron que ella ‘se vio obligada a </w:t>
      </w:r>
      <w:r w:rsidR="00C852E4" w:rsidRPr="00DB01B1">
        <w:rPr>
          <w:rFonts w:ascii="Verdana" w:hAnsi="Verdana" w:cs="Arial"/>
          <w:sz w:val="20"/>
          <w:szCs w:val="20"/>
          <w:lang w:val="es-CO"/>
        </w:rPr>
        <w:lastRenderedPageBreak/>
        <w:t>desplazarse’ por ‘las amenazas proferidas en s</w:t>
      </w:r>
      <w:r w:rsidR="007C1B84" w:rsidRPr="00DB01B1">
        <w:rPr>
          <w:rFonts w:ascii="Verdana" w:hAnsi="Verdana" w:cs="Arial"/>
          <w:sz w:val="20"/>
          <w:szCs w:val="20"/>
          <w:lang w:val="es-CO"/>
        </w:rPr>
        <w:t>u contra por un grupo irregular</w:t>
      </w:r>
      <w:r w:rsidR="001F0C01">
        <w:rPr>
          <w:rFonts w:ascii="Verdana" w:hAnsi="Verdana" w:cs="Arial"/>
          <w:sz w:val="20"/>
          <w:szCs w:val="20"/>
          <w:lang w:val="es-CO"/>
        </w:rPr>
        <w:t>’”</w:t>
      </w:r>
      <w:r w:rsidR="007C1B84" w:rsidRPr="00DB01B1">
        <w:rPr>
          <w:rStyle w:val="FootnoteReference"/>
          <w:rFonts w:ascii="Verdana" w:hAnsi="Verdana" w:cs="Arial"/>
          <w:sz w:val="20"/>
          <w:szCs w:val="20"/>
          <w:lang w:val="es-CO"/>
        </w:rPr>
        <w:footnoteReference w:id="127"/>
      </w:r>
      <w:r w:rsidR="00C852E4" w:rsidRPr="00DB01B1">
        <w:rPr>
          <w:rFonts w:ascii="Verdana" w:hAnsi="Verdana" w:cs="Arial"/>
          <w:sz w:val="20"/>
          <w:szCs w:val="20"/>
          <w:lang w:val="es-CO"/>
        </w:rPr>
        <w:t>. De conformidad al párrafo</w:t>
      </w:r>
      <w:r w:rsidR="007C1B84" w:rsidRPr="00DB01B1">
        <w:rPr>
          <w:rFonts w:ascii="Verdana" w:hAnsi="Verdana" w:cs="Arial"/>
          <w:sz w:val="20"/>
          <w:szCs w:val="20"/>
          <w:lang w:val="es-CO"/>
        </w:rPr>
        <w:t xml:space="preserve"> 110</w:t>
      </w:r>
      <w:r w:rsidR="00C852E4" w:rsidRPr="00DB01B1">
        <w:rPr>
          <w:rFonts w:ascii="Verdana" w:hAnsi="Verdana" w:cs="Arial"/>
          <w:sz w:val="20"/>
          <w:szCs w:val="20"/>
          <w:lang w:val="es-CO"/>
        </w:rPr>
        <w:t>, el 18 de julio de 2003</w:t>
      </w:r>
      <w:r w:rsidR="007C1B84" w:rsidRPr="00DB01B1">
        <w:rPr>
          <w:rFonts w:ascii="Verdana" w:hAnsi="Verdana" w:cs="Arial"/>
          <w:sz w:val="20"/>
          <w:szCs w:val="20"/>
          <w:lang w:val="es-CO"/>
        </w:rPr>
        <w:t>:</w:t>
      </w:r>
    </w:p>
    <w:p w14:paraId="4237438C" w14:textId="77777777" w:rsidR="00C852E4" w:rsidRPr="00DB01B1" w:rsidRDefault="00C852E4" w:rsidP="00C852E4">
      <w:pPr>
        <w:pStyle w:val="ListParagraph"/>
        <w:ind w:left="0"/>
        <w:contextualSpacing w:val="0"/>
        <w:jc w:val="both"/>
        <w:rPr>
          <w:rFonts w:cs="Arial"/>
          <w:szCs w:val="20"/>
          <w:lang w:val="es-CO"/>
        </w:rPr>
      </w:pPr>
    </w:p>
    <w:p w14:paraId="5D27300B" w14:textId="2B0726B3" w:rsidR="00C852E4" w:rsidRPr="00DB01B1" w:rsidRDefault="00C852E4" w:rsidP="001F0C01">
      <w:pPr>
        <w:pStyle w:val="ListParagraph"/>
        <w:ind w:left="709" w:right="616"/>
        <w:contextualSpacing w:val="0"/>
        <w:jc w:val="both"/>
        <w:rPr>
          <w:rFonts w:ascii="Verdana" w:hAnsi="Verdana" w:cs="Arial"/>
          <w:sz w:val="16"/>
          <w:szCs w:val="16"/>
          <w:lang w:val="es-CO"/>
        </w:rPr>
      </w:pPr>
      <w:r w:rsidRPr="00DB01B1">
        <w:rPr>
          <w:rFonts w:ascii="Verdana" w:hAnsi="Verdana" w:cs="Arial"/>
          <w:sz w:val="16"/>
          <w:szCs w:val="16"/>
          <w:lang w:val="es-CR"/>
        </w:rPr>
        <w:t>[</w:t>
      </w:r>
      <w:proofErr w:type="gramStart"/>
      <w:r w:rsidRPr="00DB01B1">
        <w:rPr>
          <w:rFonts w:ascii="Verdana" w:hAnsi="Verdana" w:cs="Arial"/>
          <w:sz w:val="16"/>
          <w:szCs w:val="16"/>
          <w:lang w:val="es-CR"/>
        </w:rPr>
        <w:t>l]</w:t>
      </w:r>
      <w:proofErr w:type="gramEnd"/>
      <w:r w:rsidRPr="00DB01B1">
        <w:rPr>
          <w:rFonts w:ascii="Verdana" w:hAnsi="Verdana" w:cs="Arial"/>
          <w:sz w:val="16"/>
          <w:szCs w:val="16"/>
          <w:lang w:val="es-CR"/>
        </w:rPr>
        <w:t xml:space="preserve">a señora Ospina denunció que su esposo y su hijo regresaron con el fin de proteger la vivienda de una posible invasión de los paramilitares, </w:t>
      </w:r>
      <w:r w:rsidRPr="00DB01B1">
        <w:rPr>
          <w:rFonts w:ascii="Verdana" w:hAnsi="Verdana" w:cs="Arial"/>
          <w:sz w:val="16"/>
          <w:szCs w:val="16"/>
          <w:lang w:val="es-CO"/>
        </w:rPr>
        <w:t xml:space="preserve">y que </w:t>
      </w:r>
      <w:r w:rsidRPr="00DB01B1">
        <w:rPr>
          <w:rFonts w:ascii="Verdana" w:hAnsi="Verdana"/>
          <w:sz w:val="16"/>
          <w:szCs w:val="16"/>
          <w:lang w:val="es-CR"/>
        </w:rPr>
        <w:t xml:space="preserve">el 3 de marzo de 2003 </w:t>
      </w:r>
      <w:r w:rsidR="001F0C01">
        <w:rPr>
          <w:rFonts w:ascii="Verdana" w:hAnsi="Verdana"/>
          <w:sz w:val="16"/>
          <w:szCs w:val="16"/>
          <w:lang w:val="es-CR"/>
        </w:rPr>
        <w:t>“</w:t>
      </w:r>
      <w:r w:rsidRPr="00DB01B1">
        <w:rPr>
          <w:rFonts w:ascii="Verdana" w:hAnsi="Verdana"/>
          <w:sz w:val="16"/>
          <w:szCs w:val="16"/>
          <w:lang w:val="es-CR"/>
        </w:rPr>
        <w:t>miembros del ejército, la policía, encapuchados y personas vestidas de civil sin identificarse que indicaron ser de la Fiscalía</w:t>
      </w:r>
      <w:r w:rsidR="001F0C01">
        <w:rPr>
          <w:rFonts w:ascii="Verdana" w:hAnsi="Verdana"/>
          <w:sz w:val="16"/>
          <w:szCs w:val="16"/>
          <w:lang w:val="es-CR"/>
        </w:rPr>
        <w:t>”</w:t>
      </w:r>
      <w:r w:rsidRPr="00DB01B1">
        <w:rPr>
          <w:rFonts w:ascii="Verdana" w:hAnsi="Verdana"/>
          <w:sz w:val="16"/>
          <w:szCs w:val="16"/>
          <w:lang w:val="es-CR"/>
        </w:rPr>
        <w:t>, allanaron su casa sin orden judicial, golpeando y amenazando a su esposo para luego obligarlo a cavar un hueco en el piso de la casa aduciendo que ellos ahí tenían armas</w:t>
      </w:r>
      <w:r w:rsidRPr="00DB01B1">
        <w:rPr>
          <w:rFonts w:ascii="Verdana" w:hAnsi="Verdana" w:cs="Arial"/>
          <w:sz w:val="16"/>
          <w:szCs w:val="16"/>
          <w:lang w:val="es-CR"/>
        </w:rPr>
        <w:t xml:space="preserve">. Colombia informó que “no existe registro sobre el allanamiento de las autoridades del Estado”. También denunció la señora Ospina que hechos similares ocurrieron los días </w:t>
      </w:r>
      <w:r w:rsidRPr="00DB01B1">
        <w:rPr>
          <w:rFonts w:ascii="Verdana" w:hAnsi="Verdana"/>
          <w:sz w:val="16"/>
          <w:szCs w:val="16"/>
          <w:lang w:val="es-CR"/>
        </w:rPr>
        <w:t>6 y 11 de marzo de 2003 y también, los días 26 y 27 de junio de ese año, cuando ya habían dejado la vivienda y la habían alquilado. La vivienda de la señora Ospina finalmente fue destruida. Ella expresó que, luego de estar en otros lugares, desde 2005 ha vivido en otros sectores de Medellín, y que</w:t>
      </w:r>
      <w:r w:rsidRPr="00DB01B1">
        <w:rPr>
          <w:rFonts w:ascii="Verdana" w:hAnsi="Verdana" w:cs="Arial"/>
          <w:sz w:val="16"/>
          <w:szCs w:val="16"/>
          <w:lang w:val="es-CO"/>
        </w:rPr>
        <w:t xml:space="preserve"> “nunca </w:t>
      </w:r>
      <w:proofErr w:type="spellStart"/>
      <w:r w:rsidRPr="00DB01B1">
        <w:rPr>
          <w:rFonts w:ascii="Verdana" w:hAnsi="Verdana" w:cs="Arial"/>
          <w:sz w:val="16"/>
          <w:szCs w:val="16"/>
          <w:lang w:val="es-CO"/>
        </w:rPr>
        <w:t>quis</w:t>
      </w:r>
      <w:proofErr w:type="spellEnd"/>
      <w:r w:rsidRPr="00DB01B1">
        <w:rPr>
          <w:rFonts w:ascii="Verdana" w:hAnsi="Verdana" w:cs="Arial"/>
          <w:sz w:val="16"/>
          <w:szCs w:val="16"/>
          <w:lang w:val="es-CO"/>
        </w:rPr>
        <w:t>[o] volver a espacios en donde [la] pudieran identificar”. Manifestó que perdió todos sus bienes materiales</w:t>
      </w:r>
      <w:r w:rsidR="007C1B84" w:rsidRPr="00DB01B1">
        <w:rPr>
          <w:rStyle w:val="FootnoteReference"/>
          <w:rFonts w:ascii="Verdana" w:hAnsi="Verdana" w:cs="Arial"/>
          <w:sz w:val="16"/>
          <w:szCs w:val="16"/>
        </w:rPr>
        <w:t xml:space="preserve"> </w:t>
      </w:r>
      <w:r w:rsidR="007C1B84" w:rsidRPr="00DB01B1">
        <w:rPr>
          <w:rStyle w:val="FootnoteReference"/>
          <w:rFonts w:ascii="Verdana" w:hAnsi="Verdana" w:cs="Arial"/>
          <w:sz w:val="16"/>
          <w:szCs w:val="16"/>
        </w:rPr>
        <w:footnoteReference w:id="128"/>
      </w:r>
      <w:r w:rsidR="007C1B84" w:rsidRPr="00DB01B1">
        <w:rPr>
          <w:rFonts w:ascii="Verdana" w:hAnsi="Verdana" w:cs="Arial"/>
          <w:sz w:val="16"/>
          <w:szCs w:val="16"/>
          <w:lang w:val="es-CO"/>
        </w:rPr>
        <w:t>.</w:t>
      </w:r>
    </w:p>
    <w:p w14:paraId="436AFC33" w14:textId="77777777" w:rsidR="00C852E4" w:rsidRPr="00DB01B1" w:rsidRDefault="00C852E4" w:rsidP="00C852E4">
      <w:pPr>
        <w:pStyle w:val="ListParagraph"/>
        <w:ind w:left="567" w:right="333"/>
        <w:contextualSpacing w:val="0"/>
        <w:jc w:val="both"/>
        <w:rPr>
          <w:rFonts w:cs="Arial"/>
          <w:sz w:val="16"/>
          <w:szCs w:val="16"/>
          <w:lang w:val="es-CO"/>
        </w:rPr>
      </w:pPr>
    </w:p>
    <w:p w14:paraId="11D07584" w14:textId="1BD37D3D" w:rsidR="007C1B84" w:rsidRPr="00DB01B1" w:rsidRDefault="00B7366A" w:rsidP="00C852E4">
      <w:pPr>
        <w:pStyle w:val="ListParagraph"/>
        <w:ind w:left="0"/>
        <w:contextualSpacing w:val="0"/>
        <w:jc w:val="both"/>
        <w:rPr>
          <w:rFonts w:ascii="Verdana" w:hAnsi="Verdana" w:cs="Arial"/>
          <w:sz w:val="20"/>
          <w:szCs w:val="20"/>
          <w:lang w:val="es-CO"/>
        </w:rPr>
      </w:pPr>
      <w:r w:rsidRPr="00DB01B1">
        <w:rPr>
          <w:rFonts w:ascii="Verdana" w:hAnsi="Verdana" w:cs="Arial"/>
          <w:sz w:val="20"/>
          <w:szCs w:val="20"/>
          <w:lang w:val="es-CO"/>
        </w:rPr>
        <w:t>113</w:t>
      </w:r>
      <w:r w:rsidR="00C852E4" w:rsidRPr="00DB01B1">
        <w:rPr>
          <w:rFonts w:ascii="Verdana" w:hAnsi="Verdana" w:cs="Arial"/>
          <w:sz w:val="20"/>
          <w:szCs w:val="20"/>
          <w:lang w:val="es-CO"/>
        </w:rPr>
        <w:t>.</w:t>
      </w:r>
      <w:r w:rsidR="00C852E4" w:rsidRPr="00DB01B1">
        <w:rPr>
          <w:rFonts w:ascii="Verdana" w:hAnsi="Verdana" w:cs="Arial"/>
          <w:sz w:val="20"/>
          <w:szCs w:val="20"/>
          <w:lang w:val="es-CO"/>
        </w:rPr>
        <w:tab/>
        <w:t>Además, en los párrafos 23</w:t>
      </w:r>
      <w:r w:rsidR="007A1D76">
        <w:rPr>
          <w:rFonts w:ascii="Verdana" w:hAnsi="Verdana" w:cs="Arial"/>
          <w:sz w:val="20"/>
          <w:szCs w:val="20"/>
          <w:lang w:val="es-CO"/>
        </w:rPr>
        <w:t>2</w:t>
      </w:r>
      <w:r w:rsidR="00C852E4" w:rsidRPr="00DB01B1">
        <w:rPr>
          <w:rFonts w:ascii="Verdana" w:hAnsi="Verdana" w:cs="Arial"/>
          <w:sz w:val="20"/>
          <w:szCs w:val="20"/>
          <w:lang w:val="es-CO"/>
        </w:rPr>
        <w:t xml:space="preserve"> a 23</w:t>
      </w:r>
      <w:r w:rsidR="007A1D76">
        <w:rPr>
          <w:rFonts w:ascii="Verdana" w:hAnsi="Verdana" w:cs="Arial"/>
          <w:sz w:val="20"/>
          <w:szCs w:val="20"/>
          <w:lang w:val="es-CO"/>
        </w:rPr>
        <w:t>5</w:t>
      </w:r>
      <w:r w:rsidR="00C852E4" w:rsidRPr="00DB01B1">
        <w:rPr>
          <w:rFonts w:ascii="Verdana" w:hAnsi="Verdana" w:cs="Arial"/>
          <w:sz w:val="20"/>
          <w:szCs w:val="20"/>
          <w:lang w:val="es-CO"/>
        </w:rPr>
        <w:t xml:space="preserve"> de la Sentencia se señala: </w:t>
      </w:r>
    </w:p>
    <w:p w14:paraId="7691F59F" w14:textId="77777777" w:rsidR="007C1B84" w:rsidRPr="00DB01B1" w:rsidRDefault="007C1B84" w:rsidP="00C852E4">
      <w:pPr>
        <w:pStyle w:val="ListParagraph"/>
        <w:ind w:left="0"/>
        <w:contextualSpacing w:val="0"/>
        <w:jc w:val="both"/>
        <w:rPr>
          <w:rFonts w:ascii="Verdana" w:hAnsi="Verdana" w:cs="Arial"/>
          <w:sz w:val="20"/>
          <w:szCs w:val="20"/>
          <w:lang w:val="es-CO"/>
        </w:rPr>
      </w:pPr>
    </w:p>
    <w:p w14:paraId="51A488F1" w14:textId="3C063674" w:rsidR="007C1B84" w:rsidRPr="00DB01B1" w:rsidRDefault="007C1B84" w:rsidP="001F0C01">
      <w:pPr>
        <w:pStyle w:val="ListParagraph"/>
        <w:ind w:left="708" w:right="616"/>
        <w:contextualSpacing w:val="0"/>
        <w:jc w:val="both"/>
        <w:rPr>
          <w:rFonts w:ascii="Verdana" w:hAnsi="Verdana"/>
          <w:sz w:val="16"/>
          <w:szCs w:val="16"/>
        </w:rPr>
      </w:pPr>
      <w:r w:rsidRPr="00DB01B1">
        <w:rPr>
          <w:rFonts w:ascii="Verdana" w:hAnsi="Verdana"/>
          <w:sz w:val="16"/>
          <w:szCs w:val="16"/>
        </w:rPr>
        <w:t>23</w:t>
      </w:r>
      <w:r w:rsidR="007A1D76">
        <w:rPr>
          <w:rFonts w:ascii="Verdana" w:hAnsi="Verdana"/>
          <w:sz w:val="16"/>
          <w:szCs w:val="16"/>
        </w:rPr>
        <w:t>2</w:t>
      </w:r>
      <w:r w:rsidRPr="00DB01B1">
        <w:rPr>
          <w:rFonts w:ascii="Verdana" w:hAnsi="Verdana"/>
          <w:sz w:val="16"/>
          <w:szCs w:val="16"/>
        </w:rPr>
        <w:t>. [</w:t>
      </w:r>
      <w:r w:rsidR="001F0C01">
        <w:rPr>
          <w:rFonts w:ascii="Verdana" w:hAnsi="Verdana"/>
          <w:sz w:val="16"/>
          <w:szCs w:val="16"/>
        </w:rPr>
        <w:t>…</w:t>
      </w:r>
      <w:r w:rsidRPr="00DB01B1">
        <w:rPr>
          <w:rFonts w:ascii="Verdana" w:hAnsi="Verdana"/>
          <w:sz w:val="16"/>
          <w:szCs w:val="16"/>
        </w:rPr>
        <w:t>l</w:t>
      </w:r>
      <w:proofErr w:type="gramStart"/>
      <w:r w:rsidRPr="00DB01B1">
        <w:rPr>
          <w:rFonts w:ascii="Verdana" w:hAnsi="Verdana"/>
          <w:sz w:val="16"/>
          <w:szCs w:val="16"/>
        </w:rPr>
        <w:t>]a</w:t>
      </w:r>
      <w:proofErr w:type="gramEnd"/>
      <w:r w:rsidRPr="00DB01B1">
        <w:rPr>
          <w:rFonts w:ascii="Verdana" w:hAnsi="Verdana"/>
          <w:sz w:val="16"/>
          <w:szCs w:val="16"/>
        </w:rPr>
        <w:t xml:space="preserve"> vivienda de la señora Ospina [fue] destruida a lo largo de los años y todos sus bienes [fueron] saqueados</w:t>
      </w:r>
      <w:r w:rsidR="0086493F" w:rsidRPr="00DB01B1">
        <w:rPr>
          <w:rFonts w:ascii="Verdana" w:hAnsi="Verdana"/>
          <w:sz w:val="16"/>
          <w:szCs w:val="16"/>
        </w:rPr>
        <w:t>.</w:t>
      </w:r>
      <w:r w:rsidRPr="00DB01B1">
        <w:rPr>
          <w:rFonts w:ascii="Verdana" w:hAnsi="Verdana"/>
          <w:sz w:val="16"/>
          <w:szCs w:val="16"/>
        </w:rPr>
        <w:t xml:space="preserve"> </w:t>
      </w:r>
      <w:r w:rsidR="0086493F" w:rsidRPr="00DB01B1">
        <w:rPr>
          <w:rFonts w:ascii="Verdana" w:hAnsi="Verdana"/>
          <w:sz w:val="16"/>
          <w:szCs w:val="16"/>
        </w:rPr>
        <w:t>Ella</w:t>
      </w:r>
      <w:r w:rsidRPr="00DB01B1">
        <w:rPr>
          <w:rFonts w:ascii="Verdana" w:hAnsi="Verdana"/>
          <w:sz w:val="16"/>
          <w:szCs w:val="16"/>
        </w:rPr>
        <w:t xml:space="preserve"> se ha visto impedida de regresar al barrio y </w:t>
      </w:r>
      <w:r w:rsidR="0086493F" w:rsidRPr="00DB01B1">
        <w:rPr>
          <w:rFonts w:ascii="Verdana" w:hAnsi="Verdana"/>
          <w:sz w:val="16"/>
          <w:szCs w:val="16"/>
        </w:rPr>
        <w:t xml:space="preserve">no </w:t>
      </w:r>
      <w:r w:rsidRPr="00DB01B1">
        <w:rPr>
          <w:rFonts w:ascii="Verdana" w:hAnsi="Verdana"/>
          <w:sz w:val="16"/>
          <w:szCs w:val="16"/>
        </w:rPr>
        <w:t xml:space="preserve">ha querido regresar a </w:t>
      </w:r>
      <w:r w:rsidR="0086493F" w:rsidRPr="00DB01B1">
        <w:rPr>
          <w:rFonts w:ascii="Verdana" w:hAnsi="Verdana"/>
          <w:sz w:val="16"/>
          <w:szCs w:val="16"/>
        </w:rPr>
        <w:t xml:space="preserve">trabajar en organizaciones sociales o </w:t>
      </w:r>
      <w:proofErr w:type="gramStart"/>
      <w:r w:rsidR="0086493F" w:rsidRPr="00DB01B1">
        <w:rPr>
          <w:rFonts w:ascii="Verdana" w:hAnsi="Verdana"/>
          <w:sz w:val="16"/>
          <w:szCs w:val="16"/>
        </w:rPr>
        <w:t>comunitarias[</w:t>
      </w:r>
      <w:proofErr w:type="gramEnd"/>
      <w:r w:rsidR="0086493F" w:rsidRPr="00DB01B1">
        <w:rPr>
          <w:rFonts w:ascii="Verdana" w:hAnsi="Verdana"/>
          <w:sz w:val="16"/>
          <w:szCs w:val="16"/>
        </w:rPr>
        <w:t>.]</w:t>
      </w:r>
      <w:r w:rsidRPr="00DB01B1">
        <w:rPr>
          <w:rFonts w:ascii="Verdana" w:hAnsi="Verdana"/>
          <w:sz w:val="16"/>
          <w:szCs w:val="16"/>
        </w:rPr>
        <w:t xml:space="preserve"> </w:t>
      </w:r>
      <w:r w:rsidR="0086493F" w:rsidRPr="00DB01B1">
        <w:rPr>
          <w:rFonts w:ascii="Verdana" w:hAnsi="Verdana"/>
          <w:sz w:val="16"/>
          <w:szCs w:val="16"/>
        </w:rPr>
        <w:t>[</w:t>
      </w:r>
      <w:r w:rsidRPr="00DB01B1">
        <w:rPr>
          <w:rFonts w:ascii="Verdana" w:hAnsi="Verdana"/>
          <w:sz w:val="16"/>
          <w:szCs w:val="16"/>
        </w:rPr>
        <w:t>A</w:t>
      </w:r>
      <w:r w:rsidR="0086493F" w:rsidRPr="00DB01B1">
        <w:rPr>
          <w:rFonts w:ascii="Verdana" w:hAnsi="Verdana"/>
          <w:sz w:val="16"/>
          <w:szCs w:val="16"/>
        </w:rPr>
        <w:t>]</w:t>
      </w:r>
      <w:proofErr w:type="spellStart"/>
      <w:r w:rsidRPr="00DB01B1">
        <w:rPr>
          <w:rFonts w:ascii="Verdana" w:hAnsi="Verdana"/>
          <w:sz w:val="16"/>
          <w:szCs w:val="16"/>
        </w:rPr>
        <w:t>ctualmente</w:t>
      </w:r>
      <w:proofErr w:type="spellEnd"/>
      <w:r w:rsidRPr="00DB01B1">
        <w:rPr>
          <w:rFonts w:ascii="Verdana" w:hAnsi="Verdana"/>
          <w:sz w:val="16"/>
          <w:szCs w:val="16"/>
        </w:rPr>
        <w:t xml:space="preserve"> vive en otro sector de Medellín. </w:t>
      </w:r>
    </w:p>
    <w:p w14:paraId="302653C7" w14:textId="77777777" w:rsidR="007C1B84" w:rsidRPr="00DB01B1" w:rsidRDefault="007C1B84" w:rsidP="001F0C01">
      <w:pPr>
        <w:pStyle w:val="ListParagraph"/>
        <w:ind w:left="0" w:right="616"/>
        <w:contextualSpacing w:val="0"/>
        <w:jc w:val="both"/>
        <w:rPr>
          <w:rFonts w:ascii="Verdana" w:hAnsi="Verdana"/>
          <w:sz w:val="16"/>
          <w:szCs w:val="16"/>
        </w:rPr>
      </w:pPr>
    </w:p>
    <w:p w14:paraId="4968C50C" w14:textId="2E5A7ACA" w:rsidR="007C1B84" w:rsidRPr="00DB01B1" w:rsidRDefault="007C1B84" w:rsidP="001F0C01">
      <w:pPr>
        <w:pStyle w:val="ListParagraph"/>
        <w:ind w:left="708" w:right="616"/>
        <w:contextualSpacing w:val="0"/>
        <w:jc w:val="both"/>
        <w:rPr>
          <w:rFonts w:ascii="Verdana" w:hAnsi="Verdana" w:cs="Arial"/>
          <w:sz w:val="16"/>
          <w:szCs w:val="16"/>
        </w:rPr>
      </w:pPr>
      <w:r w:rsidRPr="00DB01B1">
        <w:rPr>
          <w:rFonts w:ascii="Verdana" w:hAnsi="Verdana"/>
          <w:sz w:val="16"/>
          <w:szCs w:val="16"/>
        </w:rPr>
        <w:t>23</w:t>
      </w:r>
      <w:r w:rsidR="007A1D76">
        <w:rPr>
          <w:rFonts w:ascii="Verdana" w:hAnsi="Verdana"/>
          <w:sz w:val="16"/>
          <w:szCs w:val="16"/>
        </w:rPr>
        <w:t>3</w:t>
      </w:r>
      <w:r w:rsidRPr="00DB01B1">
        <w:rPr>
          <w:rFonts w:ascii="Verdana" w:hAnsi="Verdana"/>
          <w:sz w:val="16"/>
          <w:szCs w:val="16"/>
        </w:rPr>
        <w:t xml:space="preserve">. </w:t>
      </w:r>
      <w:r w:rsidRPr="00DB01B1">
        <w:rPr>
          <w:rFonts w:ascii="Verdana" w:hAnsi="Verdana" w:cs="Arial"/>
          <w:sz w:val="16"/>
          <w:szCs w:val="16"/>
          <w:lang w:val="es-ES"/>
        </w:rPr>
        <w:t>E</w:t>
      </w:r>
      <w:r w:rsidR="0086493F" w:rsidRPr="00DB01B1">
        <w:rPr>
          <w:rFonts w:ascii="Verdana" w:hAnsi="Verdana" w:cs="Arial"/>
          <w:sz w:val="16"/>
          <w:szCs w:val="16"/>
          <w:lang w:val="es-ES"/>
        </w:rPr>
        <w:t xml:space="preserve">l 2 de diciembre </w:t>
      </w:r>
      <w:r w:rsidRPr="00DB01B1">
        <w:rPr>
          <w:rFonts w:ascii="Verdana" w:hAnsi="Verdana" w:cs="Arial"/>
          <w:sz w:val="16"/>
          <w:szCs w:val="16"/>
          <w:lang w:val="es-ES"/>
        </w:rPr>
        <w:t>de 2003</w:t>
      </w:r>
      <w:r w:rsidR="0086493F" w:rsidRPr="00DB01B1">
        <w:rPr>
          <w:rFonts w:ascii="Verdana" w:hAnsi="Verdana" w:cs="Arial"/>
          <w:sz w:val="16"/>
          <w:szCs w:val="16"/>
          <w:lang w:val="es-ES"/>
        </w:rPr>
        <w:t xml:space="preserve"> se negó a</w:t>
      </w:r>
      <w:r w:rsidRPr="00DB01B1">
        <w:rPr>
          <w:rFonts w:ascii="Verdana" w:hAnsi="Verdana" w:cs="Arial"/>
          <w:sz w:val="16"/>
          <w:szCs w:val="16"/>
          <w:lang w:val="es-ES"/>
        </w:rPr>
        <w:t xml:space="preserve"> la señora Luz Dary Ospina </w:t>
      </w:r>
      <w:r w:rsidR="0086493F" w:rsidRPr="00DB01B1">
        <w:rPr>
          <w:rFonts w:ascii="Verdana" w:hAnsi="Verdana" w:cs="Arial"/>
          <w:sz w:val="16"/>
          <w:szCs w:val="16"/>
          <w:lang w:val="es-ES"/>
        </w:rPr>
        <w:t xml:space="preserve">su </w:t>
      </w:r>
      <w:r w:rsidRPr="00DB01B1">
        <w:rPr>
          <w:rFonts w:ascii="Verdana" w:hAnsi="Verdana" w:cs="Arial"/>
          <w:sz w:val="16"/>
          <w:szCs w:val="16"/>
          <w:lang w:val="es-ES"/>
        </w:rPr>
        <w:t>solicit</w:t>
      </w:r>
      <w:r w:rsidR="0086493F" w:rsidRPr="00DB01B1">
        <w:rPr>
          <w:rFonts w:ascii="Verdana" w:hAnsi="Verdana" w:cs="Arial"/>
          <w:sz w:val="16"/>
          <w:szCs w:val="16"/>
          <w:lang w:val="es-ES"/>
        </w:rPr>
        <w:t xml:space="preserve">ud, presentada antes de esa fecha, para su </w:t>
      </w:r>
      <w:r w:rsidR="001F0C01">
        <w:rPr>
          <w:rFonts w:ascii="Verdana" w:hAnsi="Verdana" w:cs="Arial"/>
          <w:sz w:val="16"/>
          <w:szCs w:val="16"/>
          <w:lang w:val="es-ES"/>
        </w:rPr>
        <w:t>inscripción en el “</w:t>
      </w:r>
      <w:r w:rsidRPr="00DB01B1">
        <w:rPr>
          <w:rFonts w:ascii="Verdana" w:hAnsi="Verdana" w:cs="Arial"/>
          <w:sz w:val="16"/>
          <w:szCs w:val="16"/>
          <w:lang w:val="es-ES"/>
        </w:rPr>
        <w:t>Registr</w:t>
      </w:r>
      <w:r w:rsidR="001F0C01">
        <w:rPr>
          <w:rFonts w:ascii="Verdana" w:hAnsi="Verdana" w:cs="Arial"/>
          <w:sz w:val="16"/>
          <w:szCs w:val="16"/>
          <w:lang w:val="es-ES"/>
        </w:rPr>
        <w:t>o Único de Población Desplazada”</w:t>
      </w:r>
      <w:r w:rsidR="0086493F" w:rsidRPr="00DB01B1">
        <w:rPr>
          <w:rFonts w:ascii="Verdana" w:hAnsi="Verdana" w:cs="Arial"/>
          <w:sz w:val="16"/>
          <w:szCs w:val="16"/>
          <w:lang w:val="es-ES"/>
        </w:rPr>
        <w:t>; luego</w:t>
      </w:r>
      <w:r w:rsidRPr="00DB01B1">
        <w:rPr>
          <w:rFonts w:ascii="Verdana" w:hAnsi="Verdana" w:cs="Arial"/>
          <w:sz w:val="16"/>
          <w:szCs w:val="16"/>
          <w:lang w:val="es-ES"/>
        </w:rPr>
        <w:t xml:space="preserve">, el 13 de febrero de 2004 </w:t>
      </w:r>
      <w:r w:rsidR="0086493F" w:rsidRPr="00DB01B1">
        <w:rPr>
          <w:rFonts w:ascii="Verdana" w:hAnsi="Verdana" w:cs="Arial"/>
          <w:sz w:val="16"/>
          <w:szCs w:val="16"/>
          <w:lang w:val="es-ES"/>
        </w:rPr>
        <w:t xml:space="preserve">el Coordinador de la Unidad Territorial Bogotá de la Red de Solidaridad Social, en resolución del recurso interpuesto por ella, </w:t>
      </w:r>
      <w:r w:rsidRPr="00DB01B1">
        <w:rPr>
          <w:rFonts w:ascii="Verdana" w:hAnsi="Verdana" w:cs="Arial"/>
          <w:sz w:val="16"/>
          <w:szCs w:val="16"/>
          <w:lang w:val="es-ES"/>
        </w:rPr>
        <w:t>revocó la providencia que negó su inscripción y ordenó su inclusión inmediata […]</w:t>
      </w:r>
      <w:r w:rsidRPr="00DB01B1">
        <w:rPr>
          <w:rFonts w:ascii="Verdana" w:hAnsi="Verdana" w:cs="Arial"/>
          <w:sz w:val="16"/>
          <w:szCs w:val="16"/>
        </w:rPr>
        <w:t xml:space="preserve">. </w:t>
      </w:r>
    </w:p>
    <w:p w14:paraId="535C2956" w14:textId="77777777" w:rsidR="007C1B84" w:rsidRPr="00A74776" w:rsidRDefault="007C1B84" w:rsidP="001F0C01">
      <w:pPr>
        <w:pStyle w:val="ListParagraph"/>
        <w:ind w:left="708" w:right="616"/>
        <w:contextualSpacing w:val="0"/>
        <w:jc w:val="both"/>
        <w:rPr>
          <w:rFonts w:ascii="Verdana" w:hAnsi="Verdana" w:cs="Arial"/>
          <w:sz w:val="16"/>
          <w:szCs w:val="16"/>
          <w:highlight w:val="cyan"/>
        </w:rPr>
      </w:pPr>
    </w:p>
    <w:p w14:paraId="11AAA921" w14:textId="1B21BAD5" w:rsidR="007C1B84" w:rsidRPr="00DB01B1" w:rsidRDefault="007C1B84" w:rsidP="001F0C01">
      <w:pPr>
        <w:pStyle w:val="ListParagraph"/>
        <w:ind w:left="0" w:right="616" w:firstLine="708"/>
        <w:contextualSpacing w:val="0"/>
        <w:jc w:val="both"/>
        <w:rPr>
          <w:rFonts w:ascii="Verdana" w:hAnsi="Verdana" w:cs="Arial"/>
          <w:sz w:val="16"/>
          <w:szCs w:val="16"/>
        </w:rPr>
      </w:pPr>
      <w:r w:rsidRPr="00DB01B1">
        <w:rPr>
          <w:rFonts w:ascii="Verdana" w:hAnsi="Verdana" w:cs="Arial"/>
          <w:sz w:val="16"/>
          <w:szCs w:val="16"/>
        </w:rPr>
        <w:t>23</w:t>
      </w:r>
      <w:r w:rsidR="007A1D76">
        <w:rPr>
          <w:rFonts w:ascii="Verdana" w:hAnsi="Verdana" w:cs="Arial"/>
          <w:sz w:val="16"/>
          <w:szCs w:val="16"/>
        </w:rPr>
        <w:t>4</w:t>
      </w:r>
      <w:r w:rsidRPr="00DB01B1">
        <w:rPr>
          <w:rFonts w:ascii="Verdana" w:hAnsi="Verdana" w:cs="Arial"/>
          <w:sz w:val="16"/>
          <w:szCs w:val="16"/>
        </w:rPr>
        <w:t xml:space="preserve">. </w:t>
      </w:r>
      <w:proofErr w:type="spellStart"/>
      <w:r w:rsidRPr="00DB01B1">
        <w:rPr>
          <w:rFonts w:ascii="Verdana" w:hAnsi="Verdana" w:cs="Arial"/>
          <w:sz w:val="16"/>
          <w:szCs w:val="16"/>
        </w:rPr>
        <w:t>Edid</w:t>
      </w:r>
      <w:proofErr w:type="spellEnd"/>
      <w:r w:rsidRPr="00DB01B1">
        <w:rPr>
          <w:rFonts w:ascii="Verdana" w:hAnsi="Verdana" w:cs="Arial"/>
          <w:sz w:val="16"/>
          <w:szCs w:val="16"/>
        </w:rPr>
        <w:t xml:space="preserve"> </w:t>
      </w:r>
      <w:proofErr w:type="spellStart"/>
      <w:r w:rsidRPr="00DB01B1">
        <w:rPr>
          <w:rFonts w:ascii="Verdana" w:hAnsi="Verdana" w:cs="Arial"/>
          <w:sz w:val="16"/>
          <w:szCs w:val="16"/>
        </w:rPr>
        <w:t>Yazmin</w:t>
      </w:r>
      <w:proofErr w:type="spellEnd"/>
      <w:r w:rsidRPr="00DB01B1">
        <w:rPr>
          <w:rFonts w:ascii="Verdana" w:hAnsi="Verdana" w:cs="Arial"/>
          <w:sz w:val="16"/>
          <w:szCs w:val="16"/>
        </w:rPr>
        <w:t xml:space="preserve"> Hoyos Ospina, hija de la señora Ospina, declaró que: </w:t>
      </w:r>
    </w:p>
    <w:p w14:paraId="5B270525" w14:textId="77777777" w:rsidR="007C1B84" w:rsidRPr="00A74776" w:rsidRDefault="007C1B84" w:rsidP="001F0C01">
      <w:pPr>
        <w:pStyle w:val="ListParagraph"/>
        <w:ind w:left="0" w:right="616" w:firstLine="576"/>
        <w:contextualSpacing w:val="0"/>
        <w:jc w:val="both"/>
        <w:rPr>
          <w:rFonts w:ascii="Verdana" w:hAnsi="Verdana" w:cs="Arial"/>
          <w:sz w:val="16"/>
          <w:szCs w:val="16"/>
          <w:highlight w:val="cyan"/>
        </w:rPr>
      </w:pPr>
    </w:p>
    <w:p w14:paraId="02FD3217" w14:textId="06429459" w:rsidR="007C1B84" w:rsidRPr="00DB01B1" w:rsidRDefault="001F0C01" w:rsidP="001F0C01">
      <w:pPr>
        <w:pStyle w:val="ListParagraph"/>
        <w:ind w:left="696" w:right="616"/>
        <w:contextualSpacing w:val="0"/>
        <w:jc w:val="both"/>
        <w:rPr>
          <w:rFonts w:ascii="Verdana" w:hAnsi="Verdana"/>
          <w:sz w:val="16"/>
          <w:szCs w:val="16"/>
        </w:rPr>
      </w:pPr>
      <w:r>
        <w:rPr>
          <w:rFonts w:ascii="Verdana" w:hAnsi="Verdana" w:cs="Arial"/>
          <w:sz w:val="16"/>
          <w:szCs w:val="16"/>
        </w:rPr>
        <w:t>“</w:t>
      </w:r>
      <w:r w:rsidR="007C1B84" w:rsidRPr="00DB01B1">
        <w:rPr>
          <w:rFonts w:ascii="Verdana" w:hAnsi="Verdana" w:cs="Arial"/>
          <w:sz w:val="16"/>
          <w:szCs w:val="16"/>
        </w:rPr>
        <w:t>el desplazamiento a otra ciudad, implicó un choque cultural, cambio de clima extremo, condiciones de vida extremas, porque [sus] padres no tenían ni plata, ni conocidos, ni familiares. [Se] tenía[n] que acomodar a las condiciones que [les] planteaban en la entidad que [los] ayudó a llegar [a Bogotá]. El miembro de la familia con mayores afectaciones psicológicas fue [su] hermano, el cual expresa para qué volver a construir algo, si en cualquier momento puede volver a pasar lo mismo y volver a quedar sin nada. Además desde hace 15 años consume drogas, viendo en el consumo la forma de no recordar lo sucedido</w:t>
      </w:r>
      <w:r>
        <w:rPr>
          <w:rFonts w:ascii="Verdana" w:hAnsi="Verdana" w:cs="Arial"/>
          <w:sz w:val="16"/>
          <w:szCs w:val="16"/>
        </w:rPr>
        <w:t>”</w:t>
      </w:r>
      <w:r w:rsidR="007C1B84" w:rsidRPr="00DB01B1">
        <w:rPr>
          <w:rFonts w:ascii="Verdana" w:hAnsi="Verdana" w:cs="Arial"/>
          <w:sz w:val="16"/>
          <w:szCs w:val="16"/>
        </w:rPr>
        <w:t xml:space="preserve">. </w:t>
      </w:r>
    </w:p>
    <w:p w14:paraId="46774112" w14:textId="77777777" w:rsidR="007C1B84" w:rsidRPr="00A74776" w:rsidRDefault="007C1B84" w:rsidP="001F0C01">
      <w:pPr>
        <w:ind w:right="616"/>
        <w:jc w:val="both"/>
        <w:rPr>
          <w:rFonts w:ascii="Verdana" w:hAnsi="Verdana" w:cs="Arial"/>
          <w:sz w:val="16"/>
          <w:szCs w:val="16"/>
          <w:highlight w:val="cyan"/>
        </w:rPr>
      </w:pPr>
    </w:p>
    <w:p w14:paraId="68082987" w14:textId="6A08D262" w:rsidR="007C1B84" w:rsidRPr="00E75666" w:rsidRDefault="007C1B84" w:rsidP="001F0C01">
      <w:pPr>
        <w:ind w:left="708" w:right="616"/>
        <w:jc w:val="both"/>
        <w:rPr>
          <w:rFonts w:ascii="Verdana" w:hAnsi="Verdana"/>
          <w:sz w:val="16"/>
          <w:szCs w:val="16"/>
        </w:rPr>
      </w:pPr>
      <w:r w:rsidRPr="00DB01B1">
        <w:rPr>
          <w:rFonts w:ascii="Verdana" w:hAnsi="Verdana" w:cs="Arial"/>
          <w:sz w:val="16"/>
          <w:szCs w:val="16"/>
        </w:rPr>
        <w:t>23</w:t>
      </w:r>
      <w:r w:rsidR="007A1D76">
        <w:rPr>
          <w:rFonts w:ascii="Verdana" w:hAnsi="Verdana" w:cs="Arial"/>
          <w:sz w:val="16"/>
          <w:szCs w:val="16"/>
        </w:rPr>
        <w:t>5</w:t>
      </w:r>
      <w:r w:rsidRPr="00DB01B1">
        <w:rPr>
          <w:rFonts w:ascii="Verdana" w:hAnsi="Verdana" w:cs="Arial"/>
          <w:sz w:val="16"/>
          <w:szCs w:val="16"/>
        </w:rPr>
        <w:t xml:space="preserve">. </w:t>
      </w:r>
      <w:r w:rsidRPr="00DB01B1">
        <w:rPr>
          <w:rFonts w:ascii="Verdana" w:hAnsi="Verdana"/>
          <w:sz w:val="16"/>
          <w:szCs w:val="16"/>
        </w:rPr>
        <w:t>En igual sentido, Liz Arévalo señaló, en su peritaje ante e[l] Tribunal, que los diversos traslados qu</w:t>
      </w:r>
      <w:r w:rsidR="001F0C01">
        <w:rPr>
          <w:rFonts w:ascii="Verdana" w:hAnsi="Verdana"/>
          <w:sz w:val="16"/>
          <w:szCs w:val="16"/>
        </w:rPr>
        <w:t>e tuvo que realizar la familia “</w:t>
      </w:r>
      <w:proofErr w:type="spellStart"/>
      <w:proofErr w:type="gramStart"/>
      <w:r w:rsidRPr="00DB01B1">
        <w:rPr>
          <w:rFonts w:ascii="Verdana" w:hAnsi="Verdana"/>
          <w:sz w:val="16"/>
          <w:szCs w:val="16"/>
        </w:rPr>
        <w:t>implic</w:t>
      </w:r>
      <w:proofErr w:type="spellEnd"/>
      <w:r w:rsidRPr="00DB01B1">
        <w:rPr>
          <w:rFonts w:ascii="Verdana" w:hAnsi="Verdana"/>
          <w:sz w:val="16"/>
          <w:szCs w:val="16"/>
        </w:rPr>
        <w:t>[</w:t>
      </w:r>
      <w:proofErr w:type="gramEnd"/>
      <w:r w:rsidRPr="00DB01B1">
        <w:rPr>
          <w:rFonts w:ascii="Verdana" w:hAnsi="Verdana"/>
          <w:sz w:val="16"/>
          <w:szCs w:val="16"/>
        </w:rPr>
        <w:t>aron] dejar lo conocido, huir, tener que despedirse de la familia extensa y enfrentarse a la hostilidad de las otras ciudades a las que llegaron</w:t>
      </w:r>
      <w:r w:rsidR="001F0C01">
        <w:rPr>
          <w:rFonts w:ascii="Verdana" w:hAnsi="Verdana"/>
          <w:sz w:val="16"/>
          <w:szCs w:val="16"/>
        </w:rPr>
        <w:t>”</w:t>
      </w:r>
      <w:r w:rsidRPr="00DB01B1">
        <w:rPr>
          <w:rStyle w:val="FootnoteReference"/>
          <w:rFonts w:ascii="Verdana" w:hAnsi="Verdana"/>
          <w:sz w:val="16"/>
          <w:szCs w:val="16"/>
        </w:rPr>
        <w:footnoteReference w:id="129"/>
      </w:r>
      <w:r w:rsidRPr="00DB01B1">
        <w:rPr>
          <w:rFonts w:ascii="Verdana" w:hAnsi="Verdana"/>
          <w:sz w:val="16"/>
          <w:szCs w:val="16"/>
        </w:rPr>
        <w:t>.</w:t>
      </w:r>
    </w:p>
    <w:p w14:paraId="2148CE1D" w14:textId="77777777" w:rsidR="00C852E4" w:rsidRDefault="00C852E4" w:rsidP="00C852E4">
      <w:pPr>
        <w:pStyle w:val="ListParagraph"/>
        <w:autoSpaceDE w:val="0"/>
        <w:autoSpaceDN w:val="0"/>
        <w:adjustRightInd w:val="0"/>
        <w:ind w:left="0" w:right="-144"/>
        <w:contextualSpacing w:val="0"/>
        <w:jc w:val="both"/>
        <w:rPr>
          <w:szCs w:val="20"/>
        </w:rPr>
      </w:pPr>
    </w:p>
    <w:p w14:paraId="0117E6E3" w14:textId="6EEF185B" w:rsidR="00C852E4" w:rsidRPr="003F2593" w:rsidRDefault="00790894" w:rsidP="00C852E4">
      <w:pPr>
        <w:pStyle w:val="ListParagraph"/>
        <w:autoSpaceDE w:val="0"/>
        <w:autoSpaceDN w:val="0"/>
        <w:adjustRightInd w:val="0"/>
        <w:ind w:left="0" w:right="-144"/>
        <w:contextualSpacing w:val="0"/>
        <w:jc w:val="both"/>
        <w:rPr>
          <w:rFonts w:ascii="Verdana" w:hAnsi="Verdana"/>
          <w:sz w:val="20"/>
          <w:szCs w:val="20"/>
        </w:rPr>
      </w:pPr>
      <w:r>
        <w:rPr>
          <w:rFonts w:ascii="Verdana" w:hAnsi="Verdana"/>
          <w:sz w:val="20"/>
          <w:szCs w:val="20"/>
        </w:rPr>
        <w:t>114</w:t>
      </w:r>
      <w:r w:rsidR="00C852E4" w:rsidRPr="003F2593">
        <w:rPr>
          <w:rFonts w:ascii="Verdana" w:hAnsi="Verdana"/>
          <w:sz w:val="20"/>
          <w:szCs w:val="20"/>
        </w:rPr>
        <w:t>.</w:t>
      </w:r>
      <w:r w:rsidR="00C852E4" w:rsidRPr="003F2593">
        <w:rPr>
          <w:rFonts w:ascii="Verdana" w:hAnsi="Verdana"/>
          <w:sz w:val="20"/>
          <w:szCs w:val="20"/>
        </w:rPr>
        <w:tab/>
        <w:t xml:space="preserve">Además de lo anterior, la Comisión </w:t>
      </w:r>
      <w:r w:rsidR="007C1B84" w:rsidRPr="00285FAA">
        <w:rPr>
          <w:rFonts w:ascii="Verdana" w:hAnsi="Verdana"/>
          <w:sz w:val="20"/>
          <w:szCs w:val="20"/>
        </w:rPr>
        <w:t xml:space="preserve">Interamericana </w:t>
      </w:r>
      <w:r w:rsidR="00C852E4" w:rsidRPr="00285FAA">
        <w:rPr>
          <w:rFonts w:ascii="Verdana" w:hAnsi="Verdana"/>
          <w:sz w:val="20"/>
          <w:szCs w:val="20"/>
        </w:rPr>
        <w:t xml:space="preserve">y las partes, hicieron referencia a la pérdida de la vivienda </w:t>
      </w:r>
      <w:r w:rsidR="00402DFB" w:rsidRPr="00285FAA">
        <w:rPr>
          <w:rFonts w:ascii="Verdana" w:hAnsi="Verdana"/>
          <w:sz w:val="20"/>
          <w:szCs w:val="20"/>
        </w:rPr>
        <w:t xml:space="preserve">en </w:t>
      </w:r>
      <w:r w:rsidR="00C852E4" w:rsidRPr="00285FAA">
        <w:rPr>
          <w:rFonts w:ascii="Verdana" w:hAnsi="Verdana"/>
          <w:sz w:val="20"/>
          <w:szCs w:val="20"/>
        </w:rPr>
        <w:t xml:space="preserve">sus argumentos. Ello fue así, en primer lugar, respecto a los argumentos </w:t>
      </w:r>
      <w:r w:rsidR="00C852E4" w:rsidRPr="000D1C69">
        <w:rPr>
          <w:rFonts w:ascii="Verdana" w:hAnsi="Verdana"/>
          <w:sz w:val="20"/>
          <w:szCs w:val="20"/>
        </w:rPr>
        <w:t>indicados en los párrafos 20</w:t>
      </w:r>
      <w:r w:rsidR="002C5952">
        <w:rPr>
          <w:rFonts w:ascii="Verdana" w:hAnsi="Verdana"/>
          <w:sz w:val="20"/>
          <w:szCs w:val="20"/>
        </w:rPr>
        <w:t>7</w:t>
      </w:r>
      <w:r w:rsidR="00C852E4" w:rsidRPr="000D1C69">
        <w:rPr>
          <w:rFonts w:ascii="Verdana" w:hAnsi="Verdana"/>
          <w:sz w:val="20"/>
          <w:szCs w:val="20"/>
        </w:rPr>
        <w:t>, 21</w:t>
      </w:r>
      <w:r w:rsidR="002C5952">
        <w:rPr>
          <w:rFonts w:ascii="Verdana" w:hAnsi="Verdana"/>
          <w:sz w:val="20"/>
          <w:szCs w:val="20"/>
        </w:rPr>
        <w:t>0</w:t>
      </w:r>
      <w:r w:rsidR="00C852E4" w:rsidRPr="000D1C69">
        <w:rPr>
          <w:rFonts w:ascii="Verdana" w:hAnsi="Verdana"/>
          <w:sz w:val="20"/>
          <w:szCs w:val="20"/>
        </w:rPr>
        <w:t xml:space="preserve"> y 21</w:t>
      </w:r>
      <w:r w:rsidR="002C5952">
        <w:rPr>
          <w:rFonts w:ascii="Verdana" w:hAnsi="Verdana"/>
          <w:sz w:val="20"/>
          <w:szCs w:val="20"/>
        </w:rPr>
        <w:t>3</w:t>
      </w:r>
      <w:r w:rsidR="00C852E4" w:rsidRPr="000D1C69">
        <w:rPr>
          <w:rFonts w:ascii="Verdana" w:hAnsi="Verdana"/>
          <w:sz w:val="20"/>
          <w:szCs w:val="20"/>
        </w:rPr>
        <w:t xml:space="preserve"> de la Sentencia,</w:t>
      </w:r>
      <w:r w:rsidR="00C852E4" w:rsidRPr="00285FAA">
        <w:rPr>
          <w:rFonts w:ascii="Verdana" w:hAnsi="Verdana"/>
          <w:sz w:val="20"/>
          <w:szCs w:val="20"/>
        </w:rPr>
        <w:t xml:space="preserve"> presentados respecto del derecho a la propiedad privada y la aducida</w:t>
      </w:r>
      <w:r w:rsidR="00C852E4" w:rsidRPr="003F2593">
        <w:rPr>
          <w:rFonts w:ascii="Verdana" w:hAnsi="Verdana"/>
          <w:sz w:val="20"/>
          <w:szCs w:val="20"/>
        </w:rPr>
        <w:t xml:space="preserve"> vulneración al derecho a la protección de la honra y de la dignidad</w:t>
      </w:r>
      <w:r w:rsidR="007C1B84" w:rsidRPr="00E75666">
        <w:rPr>
          <w:rStyle w:val="FootnoteReference"/>
          <w:rFonts w:ascii="Verdana" w:hAnsi="Verdana"/>
          <w:sz w:val="20"/>
          <w:szCs w:val="20"/>
        </w:rPr>
        <w:footnoteReference w:id="130"/>
      </w:r>
      <w:r w:rsidR="00C852E4" w:rsidRPr="003F2593">
        <w:rPr>
          <w:rFonts w:ascii="Verdana" w:hAnsi="Verdana"/>
          <w:sz w:val="20"/>
          <w:szCs w:val="20"/>
        </w:rPr>
        <w:t>. A</w:t>
      </w:r>
      <w:r w:rsidR="007C1B84">
        <w:rPr>
          <w:rFonts w:ascii="Verdana" w:hAnsi="Verdana"/>
          <w:sz w:val="20"/>
          <w:szCs w:val="20"/>
        </w:rPr>
        <w:t>simismo</w:t>
      </w:r>
      <w:r w:rsidR="00C852E4" w:rsidRPr="003F2593">
        <w:rPr>
          <w:rFonts w:ascii="Verdana" w:hAnsi="Verdana"/>
          <w:sz w:val="20"/>
          <w:szCs w:val="20"/>
        </w:rPr>
        <w:t xml:space="preserve">, aunque no alegaron </w:t>
      </w:r>
      <w:r w:rsidR="00C852E4" w:rsidRPr="003F2593">
        <w:rPr>
          <w:rFonts w:ascii="Verdana" w:hAnsi="Verdana"/>
          <w:sz w:val="20"/>
          <w:szCs w:val="20"/>
        </w:rPr>
        <w:lastRenderedPageBreak/>
        <w:t>expresamente la violación al artículo 26 de la Convención</w:t>
      </w:r>
      <w:r w:rsidR="00402DFB" w:rsidRPr="003F2593">
        <w:rPr>
          <w:rFonts w:ascii="Verdana" w:hAnsi="Verdana"/>
          <w:sz w:val="20"/>
          <w:szCs w:val="20"/>
        </w:rPr>
        <w:t xml:space="preserve"> Americana</w:t>
      </w:r>
      <w:r w:rsidR="00C852E4" w:rsidRPr="003F2593">
        <w:rPr>
          <w:rFonts w:ascii="Verdana" w:hAnsi="Verdana"/>
          <w:sz w:val="20"/>
          <w:szCs w:val="20"/>
        </w:rPr>
        <w:t xml:space="preserve">, la Comisión y los representantes de las víctimas hicieron otras referencias al tema. La Comisión </w:t>
      </w:r>
      <w:r w:rsidR="007C1B84">
        <w:rPr>
          <w:rFonts w:ascii="Verdana" w:hAnsi="Verdana"/>
          <w:sz w:val="20"/>
          <w:szCs w:val="20"/>
        </w:rPr>
        <w:t xml:space="preserve">Interamericana </w:t>
      </w:r>
      <w:r w:rsidR="00C852E4" w:rsidRPr="003F2593">
        <w:rPr>
          <w:rFonts w:ascii="Verdana" w:hAnsi="Verdana"/>
          <w:sz w:val="20"/>
          <w:szCs w:val="20"/>
        </w:rPr>
        <w:t>hizo menciones a la cuestión de la pérdida de las viviendas en relación con sus alegatos respeto los derechos a la integridad personal y de ci</w:t>
      </w:r>
      <w:r w:rsidR="00402DFB" w:rsidRPr="003F2593">
        <w:rPr>
          <w:rFonts w:ascii="Verdana" w:hAnsi="Verdana"/>
          <w:sz w:val="20"/>
          <w:szCs w:val="20"/>
        </w:rPr>
        <w:t>rc</w:t>
      </w:r>
      <w:r w:rsidR="00C852E4" w:rsidRPr="003F2593">
        <w:rPr>
          <w:rFonts w:ascii="Verdana" w:hAnsi="Verdana"/>
          <w:sz w:val="20"/>
          <w:szCs w:val="20"/>
        </w:rPr>
        <w:t>ulación y de residencia, como respecto a los derechos del niño y los derechos a las garantías judiciales y protección judicial</w:t>
      </w:r>
      <w:r w:rsidR="00C852E4" w:rsidRPr="003F2593">
        <w:rPr>
          <w:rStyle w:val="FootnoteReference"/>
          <w:rFonts w:ascii="Verdana" w:hAnsi="Verdana"/>
          <w:sz w:val="20"/>
          <w:szCs w:val="20"/>
        </w:rPr>
        <w:footnoteReference w:id="131"/>
      </w:r>
      <w:r w:rsidR="00C852E4" w:rsidRPr="003F2593">
        <w:rPr>
          <w:rFonts w:ascii="Verdana" w:hAnsi="Verdana"/>
          <w:sz w:val="20"/>
          <w:szCs w:val="20"/>
        </w:rPr>
        <w:t>. Los representantes, por su parte, al señalar impactos y consecuencias del desplazamiento forzado expresaron que “</w:t>
      </w:r>
      <w:r w:rsidR="00B33357">
        <w:rPr>
          <w:rFonts w:ascii="Verdana" w:hAnsi="Verdana"/>
          <w:sz w:val="20"/>
          <w:szCs w:val="20"/>
        </w:rPr>
        <w:t>[</w:t>
      </w:r>
      <w:r w:rsidR="00C852E4" w:rsidRPr="003F2593">
        <w:rPr>
          <w:rFonts w:ascii="Verdana" w:hAnsi="Verdana"/>
          <w:sz w:val="20"/>
          <w:szCs w:val="20"/>
        </w:rPr>
        <w:t>e</w:t>
      </w:r>
      <w:r w:rsidR="00B33357">
        <w:rPr>
          <w:rFonts w:ascii="Verdana" w:hAnsi="Verdana"/>
          <w:sz w:val="20"/>
          <w:szCs w:val="20"/>
        </w:rPr>
        <w:t>]</w:t>
      </w:r>
      <w:proofErr w:type="spellStart"/>
      <w:r w:rsidR="00C852E4" w:rsidRPr="003F2593">
        <w:rPr>
          <w:rFonts w:ascii="Verdana" w:hAnsi="Verdana"/>
          <w:sz w:val="20"/>
          <w:szCs w:val="20"/>
        </w:rPr>
        <w:t>ste</w:t>
      </w:r>
      <w:proofErr w:type="spellEnd"/>
      <w:r w:rsidR="00C852E4" w:rsidRPr="003F2593">
        <w:rPr>
          <w:rFonts w:ascii="Verdana" w:hAnsi="Verdana"/>
          <w:sz w:val="20"/>
          <w:szCs w:val="20"/>
        </w:rPr>
        <w:t xml:space="preserve"> fenómeno </w:t>
      </w:r>
      <w:r w:rsidR="00C852E4" w:rsidRPr="003F2593">
        <w:rPr>
          <w:rFonts w:ascii="Verdana" w:hAnsi="Verdana" w:cs="Arial"/>
          <w:sz w:val="20"/>
          <w:szCs w:val="20"/>
          <w:lang w:val="es-PE"/>
        </w:rPr>
        <w:t>constituye una violación grave de derechos humanos, y en forma particular y directa atenta contra […] el derecho a la vivienda, […], entre otros”</w:t>
      </w:r>
      <w:r w:rsidR="00C852E4" w:rsidRPr="003F2593">
        <w:rPr>
          <w:rStyle w:val="FootnoteReference"/>
          <w:rFonts w:ascii="Verdana" w:hAnsi="Verdana"/>
          <w:sz w:val="20"/>
          <w:szCs w:val="20"/>
          <w:lang w:val="es-PE"/>
        </w:rPr>
        <w:footnoteReference w:id="132"/>
      </w:r>
      <w:r w:rsidR="00C852E4" w:rsidRPr="003F2593">
        <w:rPr>
          <w:rFonts w:ascii="Verdana" w:hAnsi="Verdana" w:cs="Arial"/>
          <w:sz w:val="20"/>
          <w:szCs w:val="20"/>
          <w:lang w:val="es-PE"/>
        </w:rPr>
        <w:t>. Hicieron también alusiones a lo oc</w:t>
      </w:r>
      <w:r w:rsidR="008162B7">
        <w:rPr>
          <w:rFonts w:ascii="Verdana" w:hAnsi="Verdana" w:cs="Arial"/>
          <w:sz w:val="20"/>
          <w:szCs w:val="20"/>
          <w:lang w:val="es-PE"/>
        </w:rPr>
        <w:t>urrido con la vivienda de las ví</w:t>
      </w:r>
      <w:r w:rsidR="00C852E4" w:rsidRPr="003F2593">
        <w:rPr>
          <w:rFonts w:ascii="Verdana" w:hAnsi="Verdana" w:cs="Arial"/>
          <w:sz w:val="20"/>
          <w:szCs w:val="20"/>
          <w:lang w:val="es-PE"/>
        </w:rPr>
        <w:t xml:space="preserve">ctimas en relación con argumentos sobre los derechos a la integridad personal, a la protección de la </w:t>
      </w:r>
      <w:proofErr w:type="spellStart"/>
      <w:r w:rsidR="00C852E4" w:rsidRPr="003F2593">
        <w:rPr>
          <w:rFonts w:ascii="Verdana" w:hAnsi="Verdana" w:cs="Arial"/>
          <w:sz w:val="20"/>
          <w:szCs w:val="20"/>
          <w:lang w:val="es-PE"/>
        </w:rPr>
        <w:t>honrra</w:t>
      </w:r>
      <w:proofErr w:type="spellEnd"/>
      <w:r w:rsidR="00C852E4" w:rsidRPr="003F2593">
        <w:rPr>
          <w:rFonts w:ascii="Verdana" w:hAnsi="Verdana" w:cs="Arial"/>
          <w:sz w:val="20"/>
          <w:szCs w:val="20"/>
          <w:lang w:val="es-PE"/>
        </w:rPr>
        <w:t xml:space="preserve"> y de la dignidad, los derechos del niño, y los derechos a las garantías judiciales y protección judicial</w:t>
      </w:r>
      <w:r w:rsidR="00C852E4" w:rsidRPr="003F2593">
        <w:rPr>
          <w:rStyle w:val="FootnoteReference"/>
          <w:rFonts w:ascii="Verdana" w:hAnsi="Verdana"/>
          <w:sz w:val="20"/>
          <w:szCs w:val="20"/>
          <w:lang w:val="es-PE"/>
        </w:rPr>
        <w:footnoteReference w:id="133"/>
      </w:r>
      <w:r w:rsidR="00C852E4" w:rsidRPr="003F2593">
        <w:rPr>
          <w:rFonts w:ascii="Verdana" w:hAnsi="Verdana" w:cs="Arial"/>
          <w:sz w:val="20"/>
          <w:szCs w:val="20"/>
          <w:lang w:val="es-PE"/>
        </w:rPr>
        <w:t xml:space="preserve">. </w:t>
      </w:r>
    </w:p>
    <w:p w14:paraId="0D01365C" w14:textId="77777777" w:rsidR="00C852E4" w:rsidRDefault="00C852E4" w:rsidP="00C852E4">
      <w:pPr>
        <w:pStyle w:val="ListParagraph"/>
        <w:autoSpaceDE w:val="0"/>
        <w:autoSpaceDN w:val="0"/>
        <w:adjustRightInd w:val="0"/>
        <w:ind w:left="0" w:right="-144"/>
        <w:contextualSpacing w:val="0"/>
        <w:jc w:val="both"/>
        <w:rPr>
          <w:szCs w:val="20"/>
        </w:rPr>
      </w:pPr>
    </w:p>
    <w:p w14:paraId="2017C7F7" w14:textId="2CF564B3" w:rsidR="00B7366A" w:rsidRPr="00B92067" w:rsidRDefault="00790894" w:rsidP="00C852E4">
      <w:pPr>
        <w:pStyle w:val="ListParagraph"/>
        <w:autoSpaceDE w:val="0"/>
        <w:autoSpaceDN w:val="0"/>
        <w:adjustRightInd w:val="0"/>
        <w:ind w:left="0" w:right="-144"/>
        <w:contextualSpacing w:val="0"/>
        <w:jc w:val="both"/>
        <w:rPr>
          <w:rFonts w:ascii="Verdana" w:hAnsi="Verdana"/>
          <w:sz w:val="20"/>
          <w:szCs w:val="20"/>
        </w:rPr>
      </w:pPr>
      <w:r>
        <w:rPr>
          <w:rFonts w:ascii="Verdana" w:hAnsi="Verdana"/>
          <w:sz w:val="20"/>
          <w:szCs w:val="20"/>
        </w:rPr>
        <w:t>115</w:t>
      </w:r>
      <w:r w:rsidR="00C852E4" w:rsidRPr="003F2593">
        <w:rPr>
          <w:rFonts w:ascii="Verdana" w:hAnsi="Verdana"/>
          <w:sz w:val="20"/>
          <w:szCs w:val="20"/>
        </w:rPr>
        <w:t>.</w:t>
      </w:r>
      <w:r w:rsidR="00C852E4" w:rsidRPr="003F2593">
        <w:rPr>
          <w:rFonts w:ascii="Verdana" w:hAnsi="Verdana"/>
          <w:sz w:val="20"/>
          <w:szCs w:val="20"/>
        </w:rPr>
        <w:tab/>
        <w:t xml:space="preserve">Sobre la base de lo anterior, encuentro que el caso presentaba elementos que permitían </w:t>
      </w:r>
      <w:r w:rsidR="00402DFB" w:rsidRPr="003F2593">
        <w:rPr>
          <w:rFonts w:ascii="Verdana" w:hAnsi="Verdana"/>
          <w:sz w:val="20"/>
          <w:szCs w:val="20"/>
        </w:rPr>
        <w:t xml:space="preserve">claramente </w:t>
      </w:r>
      <w:r w:rsidR="00C852E4" w:rsidRPr="003F2593">
        <w:rPr>
          <w:rFonts w:ascii="Verdana" w:hAnsi="Verdana"/>
          <w:sz w:val="20"/>
          <w:szCs w:val="20"/>
        </w:rPr>
        <w:t xml:space="preserve">analizar la vulneración al </w:t>
      </w:r>
      <w:r w:rsidR="00C852E4" w:rsidRPr="003F2593">
        <w:rPr>
          <w:rFonts w:ascii="Verdana" w:hAnsi="Verdana"/>
          <w:i/>
          <w:sz w:val="20"/>
          <w:szCs w:val="20"/>
        </w:rPr>
        <w:t>derecho a la vivienda</w:t>
      </w:r>
      <w:r w:rsidR="00C852E4" w:rsidRPr="003F2593">
        <w:rPr>
          <w:rFonts w:ascii="Verdana" w:hAnsi="Verdana"/>
          <w:sz w:val="20"/>
          <w:szCs w:val="20"/>
        </w:rPr>
        <w:t xml:space="preserve"> con base en el principio </w:t>
      </w:r>
      <w:proofErr w:type="spellStart"/>
      <w:r w:rsidR="00C852E4" w:rsidRPr="003F2593">
        <w:rPr>
          <w:rFonts w:ascii="Verdana" w:hAnsi="Verdana"/>
          <w:i/>
          <w:sz w:val="20"/>
          <w:szCs w:val="20"/>
        </w:rPr>
        <w:t>iura</w:t>
      </w:r>
      <w:proofErr w:type="spellEnd"/>
      <w:r w:rsidR="00C852E4" w:rsidRPr="003F2593">
        <w:rPr>
          <w:rFonts w:ascii="Verdana" w:hAnsi="Verdana"/>
          <w:i/>
          <w:sz w:val="20"/>
          <w:szCs w:val="20"/>
        </w:rPr>
        <w:t xml:space="preserve"> </w:t>
      </w:r>
      <w:proofErr w:type="spellStart"/>
      <w:r w:rsidR="00C852E4" w:rsidRPr="003F2593">
        <w:rPr>
          <w:rFonts w:ascii="Verdana" w:hAnsi="Verdana"/>
          <w:i/>
          <w:sz w:val="20"/>
          <w:szCs w:val="20"/>
        </w:rPr>
        <w:t>novit</w:t>
      </w:r>
      <w:proofErr w:type="spellEnd"/>
      <w:r w:rsidR="00C852E4" w:rsidRPr="003F2593">
        <w:rPr>
          <w:rFonts w:ascii="Verdana" w:hAnsi="Verdana"/>
          <w:i/>
          <w:sz w:val="20"/>
          <w:szCs w:val="20"/>
        </w:rPr>
        <w:t xml:space="preserve"> curia</w:t>
      </w:r>
      <w:r w:rsidR="00C852E4" w:rsidRPr="003F2593">
        <w:rPr>
          <w:rFonts w:ascii="Verdana" w:hAnsi="Verdana"/>
          <w:sz w:val="20"/>
          <w:szCs w:val="20"/>
        </w:rPr>
        <w:t xml:space="preserve">, teniendo en cuenta lo expuesto antes sobre la competencia de la Corte </w:t>
      </w:r>
      <w:r w:rsidR="00402DFB" w:rsidRPr="003F2593">
        <w:rPr>
          <w:rFonts w:ascii="Verdana" w:hAnsi="Verdana"/>
          <w:sz w:val="20"/>
          <w:szCs w:val="20"/>
        </w:rPr>
        <w:t xml:space="preserve">IDH </w:t>
      </w:r>
      <w:r w:rsidR="00C852E4" w:rsidRPr="003F2593">
        <w:rPr>
          <w:rFonts w:ascii="Verdana" w:hAnsi="Verdana"/>
          <w:sz w:val="20"/>
          <w:szCs w:val="20"/>
        </w:rPr>
        <w:t>respecto al artículo 26 de la Convención</w:t>
      </w:r>
      <w:r w:rsidR="00402DFB" w:rsidRPr="003F2593">
        <w:rPr>
          <w:rFonts w:ascii="Verdana" w:hAnsi="Verdana"/>
          <w:sz w:val="20"/>
          <w:szCs w:val="20"/>
        </w:rPr>
        <w:t xml:space="preserve"> Americana</w:t>
      </w:r>
      <w:r w:rsidR="00C852E4" w:rsidRPr="003F2593">
        <w:rPr>
          <w:rFonts w:ascii="Verdana" w:hAnsi="Verdana"/>
          <w:sz w:val="20"/>
          <w:szCs w:val="20"/>
        </w:rPr>
        <w:t xml:space="preserve">. </w:t>
      </w:r>
    </w:p>
    <w:p w14:paraId="4B5F0E1F" w14:textId="77777777" w:rsidR="00B7366A" w:rsidRDefault="00B7366A" w:rsidP="007C1B84">
      <w:pPr>
        <w:spacing w:line="276" w:lineRule="auto"/>
        <w:rPr>
          <w:rFonts w:ascii="Verdana" w:hAnsi="Verdana"/>
          <w:b/>
          <w:sz w:val="20"/>
          <w:szCs w:val="20"/>
        </w:rPr>
      </w:pPr>
    </w:p>
    <w:p w14:paraId="256238CC" w14:textId="77777777" w:rsidR="00C066E4" w:rsidRDefault="00C066E4" w:rsidP="007C1B84">
      <w:pPr>
        <w:spacing w:line="276" w:lineRule="auto"/>
        <w:rPr>
          <w:rFonts w:ascii="Verdana" w:hAnsi="Verdana"/>
          <w:b/>
          <w:sz w:val="20"/>
          <w:szCs w:val="20"/>
        </w:rPr>
      </w:pPr>
    </w:p>
    <w:p w14:paraId="4DC6B706" w14:textId="77777777" w:rsidR="00187189" w:rsidRDefault="007C1B84" w:rsidP="007B4713">
      <w:pPr>
        <w:spacing w:line="276" w:lineRule="auto"/>
        <w:jc w:val="center"/>
        <w:rPr>
          <w:rFonts w:ascii="Verdana" w:hAnsi="Verdana"/>
          <w:sz w:val="20"/>
          <w:szCs w:val="20"/>
        </w:rPr>
      </w:pPr>
      <w:r w:rsidRPr="00187189">
        <w:rPr>
          <w:rFonts w:ascii="Verdana" w:hAnsi="Verdana"/>
          <w:sz w:val="20"/>
          <w:szCs w:val="20"/>
        </w:rPr>
        <w:t xml:space="preserve">V. </w:t>
      </w:r>
      <w:r w:rsidR="003F7702" w:rsidRPr="00187189">
        <w:rPr>
          <w:rFonts w:ascii="Verdana" w:hAnsi="Verdana"/>
          <w:sz w:val="20"/>
          <w:szCs w:val="20"/>
        </w:rPr>
        <w:t>EL</w:t>
      </w:r>
      <w:r w:rsidR="00491493" w:rsidRPr="00187189">
        <w:rPr>
          <w:rFonts w:ascii="Verdana" w:hAnsi="Verdana"/>
          <w:sz w:val="20"/>
          <w:szCs w:val="20"/>
        </w:rPr>
        <w:t xml:space="preserve"> DESPLAZAMIENTO FORZADO INTRAUR</w:t>
      </w:r>
      <w:r w:rsidR="003F7702" w:rsidRPr="00187189">
        <w:rPr>
          <w:rFonts w:ascii="Verdana" w:hAnsi="Verdana"/>
          <w:sz w:val="20"/>
          <w:szCs w:val="20"/>
        </w:rPr>
        <w:t xml:space="preserve">BANO </w:t>
      </w:r>
      <w:r w:rsidR="00993C1C" w:rsidRPr="00187189">
        <w:rPr>
          <w:rFonts w:ascii="Verdana" w:hAnsi="Verdana"/>
          <w:sz w:val="20"/>
          <w:szCs w:val="20"/>
        </w:rPr>
        <w:t>Y SU IMP</w:t>
      </w:r>
      <w:r w:rsidR="006B1400" w:rsidRPr="00187189">
        <w:rPr>
          <w:rFonts w:ascii="Verdana" w:hAnsi="Verdana"/>
          <w:sz w:val="20"/>
          <w:szCs w:val="20"/>
        </w:rPr>
        <w:t>A</w:t>
      </w:r>
      <w:r w:rsidR="00491493" w:rsidRPr="00187189">
        <w:rPr>
          <w:rFonts w:ascii="Verdana" w:hAnsi="Verdana"/>
          <w:sz w:val="20"/>
          <w:szCs w:val="20"/>
        </w:rPr>
        <w:t xml:space="preserve">CTO </w:t>
      </w:r>
    </w:p>
    <w:p w14:paraId="4B52FF6D" w14:textId="5B684163" w:rsidR="003F7702" w:rsidRPr="00187189" w:rsidRDefault="00491493" w:rsidP="007B4713">
      <w:pPr>
        <w:spacing w:line="276" w:lineRule="auto"/>
        <w:jc w:val="center"/>
        <w:rPr>
          <w:rFonts w:ascii="Verdana" w:hAnsi="Verdana"/>
          <w:i/>
          <w:sz w:val="20"/>
          <w:szCs w:val="20"/>
        </w:rPr>
      </w:pPr>
      <w:r w:rsidRPr="00187189">
        <w:rPr>
          <w:rFonts w:ascii="Verdana" w:hAnsi="Verdana"/>
          <w:sz w:val="20"/>
          <w:szCs w:val="20"/>
        </w:rPr>
        <w:t xml:space="preserve">EN EL </w:t>
      </w:r>
      <w:r w:rsidRPr="00187189">
        <w:rPr>
          <w:rFonts w:ascii="Verdana" w:hAnsi="Verdana"/>
          <w:i/>
          <w:sz w:val="20"/>
          <w:szCs w:val="20"/>
        </w:rPr>
        <w:t>DERECHO A LA VIVIENDA</w:t>
      </w:r>
    </w:p>
    <w:p w14:paraId="4A1DC5A0" w14:textId="77777777" w:rsidR="00581C34" w:rsidRPr="005A4DF1" w:rsidRDefault="00581C34" w:rsidP="00454C7F">
      <w:pPr>
        <w:jc w:val="both"/>
        <w:rPr>
          <w:rFonts w:ascii="Verdana" w:hAnsi="Verdana"/>
          <w:sz w:val="20"/>
          <w:szCs w:val="20"/>
        </w:rPr>
      </w:pPr>
    </w:p>
    <w:p w14:paraId="08B16599" w14:textId="028CE11D" w:rsidR="00790894" w:rsidRDefault="00790894" w:rsidP="007B4713">
      <w:pPr>
        <w:pStyle w:val="NormalWeb"/>
        <w:spacing w:before="0" w:beforeAutospacing="0" w:after="0" w:afterAutospacing="0"/>
        <w:jc w:val="both"/>
        <w:rPr>
          <w:rFonts w:ascii="Verdana" w:hAnsi="Verdana"/>
          <w:lang w:val="es-ES_tradnl"/>
        </w:rPr>
      </w:pPr>
      <w:r>
        <w:rPr>
          <w:rFonts w:ascii="Verdana" w:hAnsi="Verdana"/>
          <w:lang w:val="es-ES_tradnl"/>
        </w:rPr>
        <w:t>116</w:t>
      </w:r>
      <w:r w:rsidR="007B4713">
        <w:rPr>
          <w:rFonts w:ascii="Verdana" w:hAnsi="Verdana"/>
          <w:lang w:val="es-ES_tradnl"/>
        </w:rPr>
        <w:t xml:space="preserve">. </w:t>
      </w:r>
      <w:r w:rsidR="007B4713">
        <w:rPr>
          <w:rFonts w:ascii="Verdana" w:hAnsi="Verdana"/>
          <w:lang w:val="es-ES_tradnl"/>
        </w:rPr>
        <w:tab/>
      </w:r>
      <w:r w:rsidR="0087303C" w:rsidRPr="005A4DF1">
        <w:rPr>
          <w:rFonts w:ascii="Verdana" w:hAnsi="Verdana"/>
          <w:lang w:val="es-ES_tradnl"/>
        </w:rPr>
        <w:t xml:space="preserve">Un primer punto a resaltar </w:t>
      </w:r>
      <w:r w:rsidR="0087303C" w:rsidRPr="005A4DF1">
        <w:rPr>
          <w:rFonts w:ascii="Verdana" w:hAnsi="Verdana"/>
        </w:rPr>
        <w:t>—</w:t>
      </w:r>
      <w:r w:rsidR="00AD0970" w:rsidRPr="005A4DF1">
        <w:rPr>
          <w:rFonts w:ascii="Verdana" w:hAnsi="Verdana"/>
          <w:lang w:val="es-ES_tradnl"/>
        </w:rPr>
        <w:t>que no se había presentado en la jurisprudencia interamericana en casos similares</w:t>
      </w:r>
      <w:r w:rsidR="0087303C" w:rsidRPr="005A4DF1">
        <w:rPr>
          <w:rFonts w:ascii="Verdana" w:hAnsi="Verdana"/>
        </w:rPr>
        <w:t>—</w:t>
      </w:r>
      <w:r w:rsidR="00AD0970" w:rsidRPr="005A4DF1">
        <w:rPr>
          <w:rFonts w:ascii="Verdana" w:hAnsi="Verdana"/>
          <w:lang w:val="es-ES_tradnl"/>
        </w:rPr>
        <w:t xml:space="preserve"> es el desplazamiento </w:t>
      </w:r>
      <w:r w:rsidR="00456B82" w:rsidRPr="005A4DF1">
        <w:rPr>
          <w:rFonts w:ascii="Verdana" w:hAnsi="Verdana"/>
          <w:lang w:val="es-ES_tradnl"/>
        </w:rPr>
        <w:t xml:space="preserve">forzado </w:t>
      </w:r>
      <w:proofErr w:type="spellStart"/>
      <w:r w:rsidR="00456B82" w:rsidRPr="005A4DF1">
        <w:rPr>
          <w:rFonts w:ascii="Verdana" w:hAnsi="Verdana"/>
          <w:i/>
          <w:lang w:val="es-ES_tradnl"/>
        </w:rPr>
        <w:t>intraurbano</w:t>
      </w:r>
      <w:proofErr w:type="spellEnd"/>
      <w:r w:rsidR="00456B82" w:rsidRPr="005A4DF1">
        <w:rPr>
          <w:rFonts w:ascii="Verdana" w:hAnsi="Verdana"/>
          <w:lang w:val="es-ES_tradnl"/>
        </w:rPr>
        <w:t xml:space="preserve"> del cual las señoras Ospina, Rúa, Mosquera y Naranjo </w:t>
      </w:r>
      <w:r w:rsidR="00AD0970" w:rsidRPr="005A4DF1">
        <w:rPr>
          <w:rFonts w:ascii="Verdana" w:hAnsi="Verdana"/>
          <w:lang w:val="es-ES_tradnl"/>
        </w:rPr>
        <w:t>fueron víctimas. En e</w:t>
      </w:r>
      <w:r w:rsidR="001F0C01">
        <w:rPr>
          <w:rFonts w:ascii="Verdana" w:hAnsi="Verdana"/>
          <w:lang w:val="es-ES_tradnl"/>
        </w:rPr>
        <w:t xml:space="preserve">ste sentido, la Corte </w:t>
      </w:r>
      <w:r w:rsidR="008249C0" w:rsidRPr="005A4DF1">
        <w:rPr>
          <w:rFonts w:ascii="Verdana" w:hAnsi="Verdana"/>
          <w:lang w:val="es-ES_tradnl"/>
        </w:rPr>
        <w:t>IDH</w:t>
      </w:r>
      <w:r w:rsidR="00A35E7D" w:rsidRPr="005A4DF1">
        <w:rPr>
          <w:rFonts w:ascii="Verdana" w:hAnsi="Verdana"/>
          <w:lang w:val="es-ES_tradnl"/>
        </w:rPr>
        <w:t xml:space="preserve"> ya ha destacado que el artí</w:t>
      </w:r>
      <w:r w:rsidR="00AD0970" w:rsidRPr="005A4DF1">
        <w:rPr>
          <w:rFonts w:ascii="Verdana" w:hAnsi="Verdana"/>
          <w:lang w:val="es-ES_tradnl"/>
        </w:rPr>
        <w:t>culo 22.1 de l</w:t>
      </w:r>
      <w:r w:rsidR="008249C0" w:rsidRPr="005A4DF1">
        <w:rPr>
          <w:rFonts w:ascii="Verdana" w:hAnsi="Verdana"/>
          <w:lang w:val="es-ES_tradnl"/>
        </w:rPr>
        <w:t>a Convención Americana reconoce</w:t>
      </w:r>
      <w:r w:rsidR="00AD0970" w:rsidRPr="005A4DF1">
        <w:rPr>
          <w:rFonts w:ascii="Verdana" w:hAnsi="Verdana"/>
          <w:lang w:val="es-ES_tradnl"/>
        </w:rPr>
        <w:t xml:space="preserve"> el derecho de circulación y de residencia. </w:t>
      </w:r>
    </w:p>
    <w:p w14:paraId="687D6713" w14:textId="77777777" w:rsidR="00790894" w:rsidRDefault="00790894" w:rsidP="007B4713">
      <w:pPr>
        <w:pStyle w:val="NormalWeb"/>
        <w:spacing w:before="0" w:beforeAutospacing="0" w:after="0" w:afterAutospacing="0"/>
        <w:jc w:val="both"/>
        <w:rPr>
          <w:rFonts w:ascii="Verdana" w:hAnsi="Verdana"/>
          <w:lang w:val="es-ES_tradnl"/>
        </w:rPr>
      </w:pPr>
    </w:p>
    <w:p w14:paraId="3BEB6490" w14:textId="2DE82AB5" w:rsidR="00AD0970" w:rsidRPr="005A4DF1" w:rsidRDefault="00790894" w:rsidP="007B4713">
      <w:pPr>
        <w:pStyle w:val="NormalWeb"/>
        <w:spacing w:before="0" w:beforeAutospacing="0" w:after="0" w:afterAutospacing="0"/>
        <w:jc w:val="both"/>
        <w:rPr>
          <w:rFonts w:ascii="Verdana" w:hAnsi="Verdana"/>
          <w:lang w:val="es-ES_tradnl"/>
        </w:rPr>
      </w:pPr>
      <w:r>
        <w:rPr>
          <w:rFonts w:ascii="Verdana" w:hAnsi="Verdana"/>
          <w:lang w:val="es-ES_tradnl"/>
        </w:rPr>
        <w:t>117.</w:t>
      </w:r>
      <w:r>
        <w:rPr>
          <w:rFonts w:ascii="Verdana" w:hAnsi="Verdana"/>
          <w:lang w:val="es-ES_tradnl"/>
        </w:rPr>
        <w:tab/>
      </w:r>
      <w:r w:rsidR="00AD0970" w:rsidRPr="005A4DF1">
        <w:rPr>
          <w:rFonts w:ascii="Verdana" w:hAnsi="Verdana"/>
          <w:lang w:val="es-ES_tradnl"/>
        </w:rPr>
        <w:t>En esta línea, el Tribunal</w:t>
      </w:r>
      <w:r w:rsidR="000620D9" w:rsidRPr="005A4DF1">
        <w:rPr>
          <w:rFonts w:ascii="Verdana" w:hAnsi="Verdana"/>
          <w:lang w:val="es-ES_tradnl"/>
        </w:rPr>
        <w:t xml:space="preserve"> Interamericano ha considerado </w:t>
      </w:r>
      <w:r w:rsidR="00AD0970" w:rsidRPr="005A4DF1">
        <w:rPr>
          <w:rFonts w:ascii="Verdana" w:hAnsi="Verdana"/>
          <w:lang w:val="es-ES_tradnl"/>
        </w:rPr>
        <w:t xml:space="preserve">que esta norma protege el derecho a no ser desplazado forzadamente dentro de un Estado Parte o a no tener que salir forzadamente fuera del territorio del Estado en el cual se </w:t>
      </w:r>
      <w:r w:rsidR="008249C0" w:rsidRPr="005A4DF1">
        <w:rPr>
          <w:rFonts w:ascii="Verdana" w:hAnsi="Verdana"/>
          <w:lang w:val="es-ES_tradnl"/>
        </w:rPr>
        <w:t>halle legalmente. Asimismo, el</w:t>
      </w:r>
      <w:r w:rsidR="00AD0970" w:rsidRPr="005A4DF1">
        <w:rPr>
          <w:rFonts w:ascii="Verdana" w:hAnsi="Verdana"/>
          <w:lang w:val="es-ES_tradnl"/>
        </w:rPr>
        <w:t xml:space="preserve"> Tribunal</w:t>
      </w:r>
      <w:r w:rsidR="008249C0" w:rsidRPr="005A4DF1">
        <w:rPr>
          <w:rFonts w:ascii="Verdana" w:hAnsi="Verdana"/>
          <w:lang w:val="es-ES_tradnl"/>
        </w:rPr>
        <w:t xml:space="preserve"> Interamericano</w:t>
      </w:r>
      <w:r w:rsidR="00AD0970" w:rsidRPr="005A4DF1">
        <w:rPr>
          <w:rFonts w:ascii="Verdana" w:hAnsi="Verdana"/>
          <w:lang w:val="es-ES_tradnl"/>
        </w:rPr>
        <w:t xml:space="preserve"> ha </w:t>
      </w:r>
      <w:r w:rsidR="008447E8" w:rsidRPr="005A4DF1">
        <w:rPr>
          <w:rFonts w:ascii="Verdana" w:hAnsi="Verdana"/>
          <w:lang w:val="es-ES_tradnl"/>
        </w:rPr>
        <w:t>señalado</w:t>
      </w:r>
      <w:r w:rsidR="00AD0970" w:rsidRPr="005A4DF1">
        <w:rPr>
          <w:rFonts w:ascii="Verdana" w:hAnsi="Verdana"/>
          <w:lang w:val="es-ES_tradnl"/>
        </w:rPr>
        <w:t xml:space="preserve"> en forma reiterada que la libertad de </w:t>
      </w:r>
      <w:r w:rsidR="008447E8" w:rsidRPr="005A4DF1">
        <w:rPr>
          <w:rFonts w:ascii="Verdana" w:hAnsi="Verdana"/>
          <w:lang w:val="es-ES_tradnl"/>
        </w:rPr>
        <w:t>circulación</w:t>
      </w:r>
      <w:r w:rsidR="00AD0970" w:rsidRPr="005A4DF1">
        <w:rPr>
          <w:rFonts w:ascii="Verdana" w:hAnsi="Verdana"/>
          <w:lang w:val="es-ES_tradnl"/>
        </w:rPr>
        <w:t xml:space="preserve"> es una </w:t>
      </w:r>
      <w:r w:rsidR="008447E8" w:rsidRPr="005A4DF1">
        <w:rPr>
          <w:rFonts w:ascii="Verdana" w:hAnsi="Verdana"/>
          <w:lang w:val="es-ES_tradnl"/>
        </w:rPr>
        <w:t>condición</w:t>
      </w:r>
      <w:r w:rsidR="00AD0970" w:rsidRPr="005A4DF1">
        <w:rPr>
          <w:rFonts w:ascii="Verdana" w:hAnsi="Verdana"/>
          <w:lang w:val="es-ES_tradnl"/>
        </w:rPr>
        <w:t xml:space="preserve"> indispensable para el libre desarrollo de la persona</w:t>
      </w:r>
      <w:r w:rsidR="00AD0970" w:rsidRPr="005A4DF1">
        <w:rPr>
          <w:rStyle w:val="FootnoteReference"/>
          <w:rFonts w:ascii="Verdana" w:hAnsi="Verdana"/>
          <w:lang w:val="es-ES_tradnl"/>
        </w:rPr>
        <w:footnoteReference w:id="134"/>
      </w:r>
      <w:r w:rsidR="00AD0970" w:rsidRPr="005A4DF1">
        <w:rPr>
          <w:rFonts w:ascii="Verdana" w:hAnsi="Verdana"/>
          <w:lang w:val="es-ES_tradnl"/>
        </w:rPr>
        <w:t xml:space="preserve">. </w:t>
      </w:r>
    </w:p>
    <w:p w14:paraId="0199FA59" w14:textId="77777777" w:rsidR="00AD0970" w:rsidRPr="005A4DF1" w:rsidRDefault="00AD0970" w:rsidP="00454C7F">
      <w:pPr>
        <w:pStyle w:val="NormalWeb"/>
        <w:spacing w:before="0" w:beforeAutospacing="0" w:after="0" w:afterAutospacing="0"/>
        <w:jc w:val="both"/>
        <w:rPr>
          <w:rFonts w:ascii="Verdana" w:hAnsi="Verdana"/>
          <w:lang w:val="es-ES_tradnl"/>
        </w:rPr>
      </w:pPr>
    </w:p>
    <w:p w14:paraId="0CA9133A" w14:textId="4FC7999C" w:rsidR="00AD0970" w:rsidRPr="005A4DF1" w:rsidRDefault="00B7366A" w:rsidP="007B4713">
      <w:pPr>
        <w:pStyle w:val="NormalWeb"/>
        <w:spacing w:before="0" w:beforeAutospacing="0" w:after="0" w:afterAutospacing="0"/>
        <w:jc w:val="both"/>
        <w:rPr>
          <w:rFonts w:ascii="Verdana" w:hAnsi="Verdana"/>
          <w:lang w:val="es-ES_tradnl"/>
        </w:rPr>
      </w:pPr>
      <w:r>
        <w:rPr>
          <w:rFonts w:ascii="Verdana" w:hAnsi="Verdana"/>
          <w:lang w:val="es-ES_tradnl"/>
        </w:rPr>
        <w:t>118</w:t>
      </w:r>
      <w:r w:rsidR="007B4713">
        <w:rPr>
          <w:rFonts w:ascii="Verdana" w:hAnsi="Verdana"/>
          <w:lang w:val="es-ES_tradnl"/>
        </w:rPr>
        <w:t xml:space="preserve">. </w:t>
      </w:r>
      <w:r w:rsidR="007B4713">
        <w:rPr>
          <w:rFonts w:ascii="Verdana" w:hAnsi="Verdana"/>
          <w:lang w:val="es-ES_tradnl"/>
        </w:rPr>
        <w:tab/>
      </w:r>
      <w:r w:rsidR="008249C0" w:rsidRPr="005A4DF1">
        <w:rPr>
          <w:rFonts w:ascii="Verdana" w:hAnsi="Verdana"/>
          <w:lang w:val="es-ES_tradnl"/>
        </w:rPr>
        <w:t xml:space="preserve">En el mismo sentido, </w:t>
      </w:r>
      <w:r w:rsidR="00AD0970" w:rsidRPr="005A4DF1">
        <w:rPr>
          <w:rFonts w:ascii="Verdana" w:hAnsi="Verdana"/>
          <w:lang w:val="es-ES_tradnl"/>
        </w:rPr>
        <w:t xml:space="preserve">el </w:t>
      </w:r>
      <w:r w:rsidR="008447E8" w:rsidRPr="005A4DF1">
        <w:rPr>
          <w:rFonts w:ascii="Verdana" w:hAnsi="Verdana"/>
          <w:lang w:val="es-ES_tradnl"/>
        </w:rPr>
        <w:t>Comité</w:t>
      </w:r>
      <w:r w:rsidR="00AD0970" w:rsidRPr="005A4DF1">
        <w:rPr>
          <w:rFonts w:ascii="Verdana" w:hAnsi="Verdana"/>
          <w:lang w:val="es-ES_tradnl"/>
        </w:rPr>
        <w:t>́ de Derechos Humanos de las Naciones Unidas en su Comentario General No. 27</w:t>
      </w:r>
      <w:r w:rsidR="0087303C" w:rsidRPr="005A4DF1">
        <w:rPr>
          <w:rFonts w:ascii="Verdana" w:hAnsi="Verdana"/>
          <w:lang w:val="es-ES_tradnl"/>
        </w:rPr>
        <w:t>,</w:t>
      </w:r>
      <w:r w:rsidR="00AD0970" w:rsidRPr="005A4DF1">
        <w:rPr>
          <w:rFonts w:ascii="Verdana" w:hAnsi="Verdana"/>
          <w:lang w:val="es-ES_tradnl"/>
        </w:rPr>
        <w:t xml:space="preserve"> en cuanto al contenido de este derecho, </w:t>
      </w:r>
      <w:r w:rsidR="008249C0" w:rsidRPr="005A4DF1">
        <w:rPr>
          <w:rFonts w:ascii="Verdana" w:hAnsi="Verdana"/>
          <w:lang w:val="es-ES_tradnl"/>
        </w:rPr>
        <w:t xml:space="preserve">ha </w:t>
      </w:r>
      <w:r w:rsidR="008249C0" w:rsidRPr="005A4DF1">
        <w:rPr>
          <w:rFonts w:ascii="Verdana" w:hAnsi="Verdana"/>
          <w:lang w:val="es-ES_tradnl"/>
        </w:rPr>
        <w:lastRenderedPageBreak/>
        <w:t>considerado que consiste</w:t>
      </w:r>
      <w:r w:rsidR="00AD0970" w:rsidRPr="005A4DF1">
        <w:rPr>
          <w:rFonts w:ascii="Verdana" w:hAnsi="Verdana"/>
          <w:lang w:val="es-ES_tradnl"/>
        </w:rPr>
        <w:t xml:space="preserve">, </w:t>
      </w:r>
      <w:r w:rsidR="00AD0970" w:rsidRPr="005A4DF1">
        <w:rPr>
          <w:rFonts w:ascii="Verdana" w:hAnsi="Verdana"/>
          <w:i/>
          <w:lang w:val="es-ES_tradnl"/>
        </w:rPr>
        <w:t xml:space="preserve">inter </w:t>
      </w:r>
      <w:proofErr w:type="spellStart"/>
      <w:r w:rsidR="00AD0970" w:rsidRPr="005A4DF1">
        <w:rPr>
          <w:rFonts w:ascii="Verdana" w:hAnsi="Verdana"/>
          <w:i/>
          <w:lang w:val="es-ES_tradnl"/>
        </w:rPr>
        <w:t>alia</w:t>
      </w:r>
      <w:proofErr w:type="spellEnd"/>
      <w:r w:rsidR="00AD0970" w:rsidRPr="005A4DF1">
        <w:rPr>
          <w:rFonts w:ascii="Verdana" w:hAnsi="Verdana"/>
          <w:lang w:val="es-ES_tradnl"/>
        </w:rPr>
        <w:t xml:space="preserve">, en: a) el derecho de quienes se encuentren legalmente dentro de un Estado a circular libremente en ese Estado y escoger su lugar de residencia, lo cual incluye la </w:t>
      </w:r>
      <w:r w:rsidR="008447E8" w:rsidRPr="005A4DF1">
        <w:rPr>
          <w:rFonts w:ascii="Verdana" w:hAnsi="Verdana"/>
          <w:lang w:val="es-ES_tradnl"/>
        </w:rPr>
        <w:t>protección</w:t>
      </w:r>
      <w:r w:rsidR="00AD0970" w:rsidRPr="005A4DF1">
        <w:rPr>
          <w:rFonts w:ascii="Verdana" w:hAnsi="Verdana"/>
          <w:lang w:val="es-ES_tradnl"/>
        </w:rPr>
        <w:t xml:space="preserve"> contra toda forma de desplazamiento interno forzado; y b) el derecho de una persona a ingresar a su </w:t>
      </w:r>
      <w:r w:rsidR="008447E8" w:rsidRPr="005A4DF1">
        <w:rPr>
          <w:rFonts w:ascii="Verdana" w:hAnsi="Verdana"/>
          <w:lang w:val="es-ES_tradnl"/>
        </w:rPr>
        <w:t>país</w:t>
      </w:r>
      <w:r w:rsidR="0087303C" w:rsidRPr="005A4DF1">
        <w:rPr>
          <w:rFonts w:ascii="Verdana" w:hAnsi="Verdana"/>
          <w:lang w:val="es-ES_tradnl"/>
        </w:rPr>
        <w:t xml:space="preserve"> y permanecer en e</w:t>
      </w:r>
      <w:r w:rsidR="00AD0970" w:rsidRPr="005A4DF1">
        <w:rPr>
          <w:rFonts w:ascii="Verdana" w:hAnsi="Verdana"/>
          <w:lang w:val="es-ES_tradnl"/>
        </w:rPr>
        <w:t xml:space="preserve">l. El disfrute de este derecho no depende de </w:t>
      </w:r>
      <w:r w:rsidR="008447E8" w:rsidRPr="005A4DF1">
        <w:rPr>
          <w:rFonts w:ascii="Verdana" w:hAnsi="Verdana"/>
          <w:lang w:val="es-ES_tradnl"/>
        </w:rPr>
        <w:t>ningún</w:t>
      </w:r>
      <w:r w:rsidR="00AD0970" w:rsidRPr="005A4DF1">
        <w:rPr>
          <w:rFonts w:ascii="Verdana" w:hAnsi="Verdana"/>
          <w:lang w:val="es-ES_tradnl"/>
        </w:rPr>
        <w:t xml:space="preserve"> objetivo o motivo en particular de la persona que desea circular o permanecer en un lugar</w:t>
      </w:r>
      <w:r w:rsidR="00A35E7D" w:rsidRPr="005A4DF1">
        <w:rPr>
          <w:rStyle w:val="FootnoteReference"/>
          <w:rFonts w:ascii="Verdana" w:hAnsi="Verdana"/>
          <w:lang w:val="es-ES_tradnl"/>
        </w:rPr>
        <w:footnoteReference w:id="135"/>
      </w:r>
      <w:r w:rsidR="000620D9" w:rsidRPr="005A4DF1">
        <w:rPr>
          <w:rFonts w:ascii="Verdana" w:hAnsi="Verdana"/>
          <w:lang w:val="es-ES_tradnl"/>
        </w:rPr>
        <w:t xml:space="preserve">. </w:t>
      </w:r>
      <w:r w:rsidR="00AD0970" w:rsidRPr="005A4DF1">
        <w:rPr>
          <w:rFonts w:ascii="Verdana" w:hAnsi="Verdana"/>
          <w:lang w:val="es-ES_tradnl"/>
        </w:rPr>
        <w:t xml:space="preserve"> </w:t>
      </w:r>
    </w:p>
    <w:p w14:paraId="3F1981BE" w14:textId="77777777" w:rsidR="00AD0970" w:rsidRPr="005A4DF1" w:rsidRDefault="00AD0970" w:rsidP="00454C7F">
      <w:pPr>
        <w:pStyle w:val="NormalWeb"/>
        <w:spacing w:before="0" w:beforeAutospacing="0" w:after="0" w:afterAutospacing="0"/>
        <w:jc w:val="both"/>
        <w:rPr>
          <w:rFonts w:ascii="Verdana" w:hAnsi="Verdana"/>
          <w:lang w:val="es-ES_tradnl"/>
        </w:rPr>
      </w:pPr>
    </w:p>
    <w:p w14:paraId="49F3F2E8" w14:textId="010FC98E" w:rsidR="00AD0970" w:rsidRPr="005A4DF1" w:rsidRDefault="00B7366A" w:rsidP="007B4713">
      <w:pPr>
        <w:pStyle w:val="NormalWeb"/>
        <w:spacing w:before="0" w:beforeAutospacing="0" w:after="0" w:afterAutospacing="0"/>
        <w:jc w:val="both"/>
        <w:rPr>
          <w:rFonts w:ascii="Verdana" w:hAnsi="Verdana"/>
          <w:lang w:val="es-ES_tradnl"/>
        </w:rPr>
      </w:pPr>
      <w:r>
        <w:rPr>
          <w:rFonts w:ascii="Verdana" w:hAnsi="Verdana"/>
          <w:lang w:val="es-ES_tradnl"/>
        </w:rPr>
        <w:t>119</w:t>
      </w:r>
      <w:r w:rsidR="007B4713">
        <w:rPr>
          <w:rFonts w:ascii="Verdana" w:hAnsi="Verdana"/>
          <w:lang w:val="es-ES_tradnl"/>
        </w:rPr>
        <w:t xml:space="preserve">. </w:t>
      </w:r>
      <w:r w:rsidR="007B4713">
        <w:rPr>
          <w:rFonts w:ascii="Verdana" w:hAnsi="Verdana"/>
          <w:lang w:val="es-ES_tradnl"/>
        </w:rPr>
        <w:tab/>
      </w:r>
      <w:r w:rsidR="00AD0970" w:rsidRPr="005A4DF1">
        <w:rPr>
          <w:rFonts w:ascii="Verdana" w:hAnsi="Verdana"/>
          <w:lang w:val="es-ES_tradnl"/>
        </w:rPr>
        <w:t>Al respecto</w:t>
      </w:r>
      <w:r w:rsidR="005F2697" w:rsidRPr="005A4DF1">
        <w:rPr>
          <w:rFonts w:ascii="Verdana" w:hAnsi="Verdana"/>
          <w:lang w:val="es-ES_tradnl"/>
        </w:rPr>
        <w:t>,</w:t>
      </w:r>
      <w:r w:rsidR="0087303C" w:rsidRPr="005A4DF1">
        <w:rPr>
          <w:rFonts w:ascii="Verdana" w:hAnsi="Verdana"/>
          <w:lang w:val="es-ES_tradnl"/>
        </w:rPr>
        <w:t xml:space="preserve"> la Corte IDH</w:t>
      </w:r>
      <w:r w:rsidR="00AD0970" w:rsidRPr="005A4DF1">
        <w:rPr>
          <w:rFonts w:ascii="Verdana" w:hAnsi="Verdana"/>
          <w:lang w:val="es-ES_tradnl"/>
        </w:rPr>
        <w:t xml:space="preserve"> ha entendido por desplazados internos a las personas o grupos de personas que se han visto forzadas u obligadas a escapar o huir de su hogar o de su lugar de residencia habitual, en particular como resultado o para evitar los efectos de un conflicto armado, de situaci</w:t>
      </w:r>
      <w:r w:rsidR="005F2697" w:rsidRPr="005A4DF1">
        <w:rPr>
          <w:rFonts w:ascii="Verdana" w:hAnsi="Verdana"/>
          <w:lang w:val="es-ES_tradnl"/>
        </w:rPr>
        <w:t xml:space="preserve">ones de violencia generalizada, </w:t>
      </w:r>
      <w:r w:rsidR="00AD0970" w:rsidRPr="005A4DF1">
        <w:rPr>
          <w:rFonts w:ascii="Verdana" w:hAnsi="Verdana"/>
          <w:lang w:val="es-ES_tradnl"/>
        </w:rPr>
        <w:t>de violaciones de los derechos humanos y que no han cruzado una frontera estatal internacionalmente reconocida</w:t>
      </w:r>
      <w:r w:rsidR="00AD0970" w:rsidRPr="005A4DF1">
        <w:rPr>
          <w:rStyle w:val="FootnoteReference"/>
          <w:rFonts w:ascii="Verdana" w:hAnsi="Verdana"/>
          <w:lang w:val="es-ES_tradnl"/>
        </w:rPr>
        <w:footnoteReference w:id="136"/>
      </w:r>
      <w:r w:rsidR="00AD0970" w:rsidRPr="005A4DF1">
        <w:rPr>
          <w:rFonts w:ascii="Verdana" w:hAnsi="Verdana"/>
          <w:lang w:val="es-ES_tradnl"/>
        </w:rPr>
        <w:t xml:space="preserve">.  </w:t>
      </w:r>
    </w:p>
    <w:p w14:paraId="250D3E25" w14:textId="77777777" w:rsidR="00C9721E" w:rsidRPr="005A4DF1" w:rsidRDefault="00C9721E" w:rsidP="00454C7F">
      <w:pPr>
        <w:pStyle w:val="NormalWeb"/>
        <w:spacing w:before="0" w:beforeAutospacing="0" w:after="0" w:afterAutospacing="0"/>
        <w:jc w:val="both"/>
        <w:rPr>
          <w:rFonts w:ascii="Verdana" w:hAnsi="Verdana"/>
          <w:lang w:val="es-ES_tradnl"/>
        </w:rPr>
      </w:pPr>
    </w:p>
    <w:p w14:paraId="34791AFD" w14:textId="76422E2C" w:rsidR="00C9721E" w:rsidRPr="005A4DF1" w:rsidRDefault="00B7366A" w:rsidP="007B4713">
      <w:pPr>
        <w:pStyle w:val="NormalWeb"/>
        <w:spacing w:before="0" w:beforeAutospacing="0" w:after="0" w:afterAutospacing="0"/>
        <w:jc w:val="both"/>
        <w:rPr>
          <w:rFonts w:ascii="Verdana" w:hAnsi="Verdana"/>
          <w:lang w:val="es-ES_tradnl"/>
        </w:rPr>
      </w:pPr>
      <w:r>
        <w:rPr>
          <w:rFonts w:ascii="Verdana" w:hAnsi="Verdana"/>
          <w:lang w:val="es-ES_tradnl"/>
        </w:rPr>
        <w:t>120</w:t>
      </w:r>
      <w:r w:rsidR="007B4713">
        <w:rPr>
          <w:rFonts w:ascii="Verdana" w:hAnsi="Verdana"/>
          <w:lang w:val="es-ES_tradnl"/>
        </w:rPr>
        <w:t xml:space="preserve">. </w:t>
      </w:r>
      <w:r w:rsidR="007B4713">
        <w:rPr>
          <w:rFonts w:ascii="Verdana" w:hAnsi="Verdana"/>
          <w:lang w:val="es-ES_tradnl"/>
        </w:rPr>
        <w:tab/>
      </w:r>
      <w:r w:rsidR="00C9721E" w:rsidRPr="005A4DF1">
        <w:rPr>
          <w:rFonts w:ascii="Verdana" w:hAnsi="Verdana"/>
          <w:lang w:val="es-ES_tradnl"/>
        </w:rPr>
        <w:t xml:space="preserve">Sin embargo, en ninguno de los casos anteriormente conocidos por este Tribunal Interamericano se </w:t>
      </w:r>
      <w:r w:rsidR="008447E8" w:rsidRPr="005A4DF1">
        <w:rPr>
          <w:rFonts w:ascii="Verdana" w:hAnsi="Verdana"/>
          <w:lang w:val="es-ES_tradnl"/>
        </w:rPr>
        <w:t>había</w:t>
      </w:r>
      <w:r w:rsidR="00C9721E" w:rsidRPr="005A4DF1">
        <w:rPr>
          <w:rFonts w:ascii="Verdana" w:hAnsi="Verdana"/>
          <w:lang w:val="es-ES_tradnl"/>
        </w:rPr>
        <w:t xml:space="preserve"> prese</w:t>
      </w:r>
      <w:r w:rsidR="005F2697" w:rsidRPr="005A4DF1">
        <w:rPr>
          <w:rFonts w:ascii="Verdana" w:hAnsi="Verdana"/>
          <w:lang w:val="es-ES_tradnl"/>
        </w:rPr>
        <w:t>ntado un escenario en el cual el</w:t>
      </w:r>
      <w:r w:rsidR="00C9721E" w:rsidRPr="005A4DF1">
        <w:rPr>
          <w:rFonts w:ascii="Verdana" w:hAnsi="Verdana"/>
          <w:lang w:val="es-ES_tradnl"/>
        </w:rPr>
        <w:t xml:space="preserve"> desplazamiento sur</w:t>
      </w:r>
      <w:r w:rsidR="008249C0" w:rsidRPr="005A4DF1">
        <w:rPr>
          <w:rFonts w:ascii="Verdana" w:hAnsi="Verdana"/>
          <w:lang w:val="es-ES_tradnl"/>
        </w:rPr>
        <w:t xml:space="preserve">giera </w:t>
      </w:r>
      <w:r w:rsidR="008249C0" w:rsidRPr="005A4DF1">
        <w:rPr>
          <w:rFonts w:ascii="Verdana" w:hAnsi="Verdana"/>
          <w:i/>
          <w:lang w:val="es-ES_tradnl"/>
        </w:rPr>
        <w:t>dentro de la misma ciudad</w:t>
      </w:r>
      <w:r w:rsidR="008249C0" w:rsidRPr="005A4DF1">
        <w:rPr>
          <w:rFonts w:ascii="Verdana" w:hAnsi="Verdana"/>
          <w:lang w:val="es-ES_tradnl"/>
        </w:rPr>
        <w:t>;</w:t>
      </w:r>
      <w:r w:rsidR="00C9721E" w:rsidRPr="005A4DF1">
        <w:rPr>
          <w:rFonts w:ascii="Verdana" w:hAnsi="Verdana"/>
          <w:lang w:val="es-ES_tradnl"/>
        </w:rPr>
        <w:t xml:space="preserve"> es decir, </w:t>
      </w:r>
      <w:r w:rsidR="0087303C" w:rsidRPr="005A4DF1">
        <w:rPr>
          <w:rFonts w:ascii="Verdana" w:hAnsi="Verdana"/>
          <w:lang w:val="es-ES_tradnl"/>
        </w:rPr>
        <w:t>se configura</w:t>
      </w:r>
      <w:r w:rsidR="00C9721E" w:rsidRPr="005A4DF1">
        <w:rPr>
          <w:rFonts w:ascii="Verdana" w:hAnsi="Verdana"/>
          <w:lang w:val="es-ES_tradnl"/>
        </w:rPr>
        <w:t xml:space="preserve"> un desplazamiento </w:t>
      </w:r>
      <w:r w:rsidR="0087303C" w:rsidRPr="005A4DF1">
        <w:rPr>
          <w:rFonts w:ascii="Verdana" w:hAnsi="Verdana"/>
          <w:lang w:val="es-ES_tradnl"/>
        </w:rPr>
        <w:t xml:space="preserve">de carácter </w:t>
      </w:r>
      <w:proofErr w:type="spellStart"/>
      <w:r w:rsidR="00C9721E" w:rsidRPr="005A4DF1">
        <w:rPr>
          <w:rFonts w:ascii="Verdana" w:hAnsi="Verdana"/>
          <w:lang w:val="es-ES_tradnl"/>
        </w:rPr>
        <w:t>intraurbano</w:t>
      </w:r>
      <w:proofErr w:type="spellEnd"/>
      <w:r w:rsidR="00C9721E" w:rsidRPr="005A4DF1">
        <w:rPr>
          <w:rFonts w:ascii="Verdana" w:hAnsi="Verdana"/>
          <w:lang w:val="es-ES_tradnl"/>
        </w:rPr>
        <w:t xml:space="preserve">. </w:t>
      </w:r>
      <w:r w:rsidR="005F2697" w:rsidRPr="005A4DF1">
        <w:rPr>
          <w:rFonts w:ascii="Verdana" w:hAnsi="Verdana"/>
          <w:lang w:val="es-ES_tradnl"/>
        </w:rPr>
        <w:t>Sobre este caso</w:t>
      </w:r>
      <w:r w:rsidR="00C9721E" w:rsidRPr="005A4DF1">
        <w:rPr>
          <w:rFonts w:ascii="Verdana" w:hAnsi="Verdana"/>
          <w:lang w:val="es-ES_tradnl"/>
        </w:rPr>
        <w:t xml:space="preserve">, la Corte Constitucional de Colombia, en su Sentencia T- 268/03 expresó que: </w:t>
      </w:r>
    </w:p>
    <w:p w14:paraId="2CE508C0" w14:textId="77777777" w:rsidR="00C9721E" w:rsidRPr="005A4DF1" w:rsidRDefault="00C9721E" w:rsidP="00454C7F">
      <w:pPr>
        <w:pStyle w:val="NormalWeb"/>
        <w:spacing w:before="0" w:beforeAutospacing="0" w:after="0" w:afterAutospacing="0"/>
        <w:jc w:val="both"/>
        <w:rPr>
          <w:rFonts w:ascii="Verdana" w:hAnsi="Verdana"/>
          <w:lang w:val="es-ES_tradnl"/>
        </w:rPr>
      </w:pPr>
    </w:p>
    <w:p w14:paraId="3C8C8208" w14:textId="77777777" w:rsidR="00C9721E" w:rsidRPr="0029579D" w:rsidRDefault="00C9721E" w:rsidP="0029579D">
      <w:pPr>
        <w:widowControl w:val="0"/>
        <w:autoSpaceDE w:val="0"/>
        <w:autoSpaceDN w:val="0"/>
        <w:adjustRightInd w:val="0"/>
        <w:ind w:right="616" w:firstLine="708"/>
        <w:jc w:val="both"/>
        <w:rPr>
          <w:rFonts w:ascii="Verdana" w:hAnsi="Verdana" w:cs="Times New Roman"/>
          <w:sz w:val="16"/>
          <w:szCs w:val="16"/>
        </w:rPr>
      </w:pPr>
      <w:r w:rsidRPr="0029579D">
        <w:rPr>
          <w:rFonts w:ascii="Verdana" w:hAnsi="Verdana" w:cs="Times New Roman"/>
          <w:bCs/>
          <w:sz w:val="16"/>
          <w:szCs w:val="16"/>
        </w:rPr>
        <w:t>DESPLAZAMIENTO INTERNO</w:t>
      </w:r>
      <w:r w:rsidRPr="0029579D">
        <w:rPr>
          <w:rFonts w:ascii="Verdana" w:hAnsi="Verdana" w:cs="Times New Roman"/>
          <w:sz w:val="16"/>
          <w:szCs w:val="16"/>
        </w:rPr>
        <w:t>-Entre lugares de la misma ciudad</w:t>
      </w:r>
    </w:p>
    <w:p w14:paraId="75653270" w14:textId="77777777" w:rsidR="00C9721E" w:rsidRPr="0029579D" w:rsidRDefault="00C9721E" w:rsidP="0029579D">
      <w:pPr>
        <w:widowControl w:val="0"/>
        <w:autoSpaceDE w:val="0"/>
        <w:autoSpaceDN w:val="0"/>
        <w:adjustRightInd w:val="0"/>
        <w:ind w:right="616"/>
        <w:jc w:val="both"/>
        <w:rPr>
          <w:rFonts w:ascii="Verdana" w:hAnsi="Verdana" w:cs="Times New Roman"/>
          <w:sz w:val="16"/>
          <w:szCs w:val="16"/>
        </w:rPr>
      </w:pPr>
      <w:r w:rsidRPr="0029579D">
        <w:rPr>
          <w:rFonts w:ascii="Verdana" w:hAnsi="Verdana" w:cs="Times New Roman"/>
          <w:sz w:val="16"/>
          <w:szCs w:val="16"/>
        </w:rPr>
        <w:t> </w:t>
      </w:r>
    </w:p>
    <w:p w14:paraId="646747E3" w14:textId="0359C9C7" w:rsidR="006E3713" w:rsidRPr="0029579D" w:rsidRDefault="00C9721E" w:rsidP="0029579D">
      <w:pPr>
        <w:pStyle w:val="NormalWeb"/>
        <w:spacing w:before="0" w:beforeAutospacing="0" w:after="0" w:afterAutospacing="0"/>
        <w:ind w:left="708" w:right="616"/>
        <w:jc w:val="both"/>
        <w:rPr>
          <w:rFonts w:ascii="Verdana" w:hAnsi="Verdana"/>
          <w:iCs/>
          <w:sz w:val="16"/>
          <w:szCs w:val="16"/>
          <w:lang w:val="es-ES_tradnl"/>
        </w:rPr>
      </w:pPr>
      <w:r w:rsidRPr="0029579D">
        <w:rPr>
          <w:rFonts w:ascii="Verdana" w:hAnsi="Verdana"/>
          <w:i/>
          <w:iCs/>
          <w:sz w:val="16"/>
          <w:szCs w:val="16"/>
          <w:u w:val="single"/>
          <w:lang w:val="es-ES_tradnl"/>
        </w:rPr>
        <w:t>Para caracterizar a los desplazados internos, dos son los elementos cruciales: [i)] La coacción que hace necesario el traslado; [y ii)] la permanencia dentro de las fronteras de la propia nación.</w:t>
      </w:r>
      <w:r w:rsidRPr="0029579D">
        <w:rPr>
          <w:rFonts w:ascii="Verdana" w:hAnsi="Verdana"/>
          <w:i/>
          <w:iCs/>
          <w:sz w:val="16"/>
          <w:szCs w:val="16"/>
          <w:lang w:val="es-ES_tradnl"/>
        </w:rPr>
        <w:t xml:space="preserve"> Si estas dos condiciones se dan, como ocurre en el caso motivo de esta tutela, no hay la menor duda de que se está ante un problema de desplazados</w:t>
      </w:r>
      <w:r w:rsidRPr="0029579D">
        <w:rPr>
          <w:rFonts w:ascii="Verdana" w:hAnsi="Verdana"/>
          <w:i/>
          <w:iCs/>
          <w:sz w:val="16"/>
          <w:szCs w:val="16"/>
          <w:u w:val="single"/>
          <w:lang w:val="es-ES_tradnl"/>
        </w:rPr>
        <w:t>. El carácter de desplazados internos no surge de aspectos formales, ni de interpretaciones restrictivas, sino de una realidad objetiva: el retiro del lugar natural que los desplazados tenían, y la ubicación no previamente deseada en</w:t>
      </w:r>
      <w:r w:rsidR="002C5952" w:rsidRPr="0029579D">
        <w:rPr>
          <w:rFonts w:ascii="Verdana" w:hAnsi="Verdana"/>
          <w:i/>
          <w:iCs/>
          <w:sz w:val="16"/>
          <w:szCs w:val="16"/>
          <w:u w:val="single"/>
          <w:lang w:val="es-ES_tradnl"/>
        </w:rPr>
        <w:t xml:space="preserve"> </w:t>
      </w:r>
      <w:r w:rsidRPr="0029579D">
        <w:rPr>
          <w:rFonts w:ascii="Verdana" w:hAnsi="Verdana"/>
          <w:i/>
          <w:iCs/>
          <w:sz w:val="16"/>
          <w:szCs w:val="16"/>
          <w:u w:val="single"/>
          <w:lang w:val="es-ES_tradnl"/>
        </w:rPr>
        <w:t>otro sitio</w:t>
      </w:r>
      <w:r w:rsidRPr="0029579D">
        <w:rPr>
          <w:rFonts w:ascii="Verdana" w:hAnsi="Verdana"/>
          <w:i/>
          <w:iCs/>
          <w:sz w:val="16"/>
          <w:szCs w:val="16"/>
          <w:lang w:val="es-ES_tradnl"/>
        </w:rPr>
        <w:t>. Todo esto debido a la coacción injusta de grupos armados que, como en el caso analizado en la presente sentencia, no solamente amenazaron la vida de numerosas familias, sino que les quemaron las casas, los ultrajaron, les dieron la orden perentoria de abandonar el sitio y como si fuera poco  asesinaron a un integrante de ese grupo</w:t>
      </w:r>
      <w:r w:rsidRPr="0029579D">
        <w:rPr>
          <w:rFonts w:ascii="Verdana" w:hAnsi="Verdana"/>
          <w:i/>
          <w:iCs/>
          <w:sz w:val="16"/>
          <w:szCs w:val="16"/>
          <w:u w:val="single"/>
          <w:lang w:val="es-ES_tradnl"/>
        </w:rPr>
        <w:t xml:space="preserve">. En ninguna parte se exige, ni puede exigirse, que para la calificación del desplazamiento interno, tenga que irse </w:t>
      </w:r>
      <w:proofErr w:type="spellStart"/>
      <w:proofErr w:type="gramStart"/>
      <w:r w:rsidRPr="0029579D">
        <w:rPr>
          <w:rFonts w:ascii="Verdana" w:hAnsi="Verdana"/>
          <w:i/>
          <w:iCs/>
          <w:sz w:val="16"/>
          <w:szCs w:val="16"/>
          <w:u w:val="single"/>
          <w:lang w:val="es-ES_tradnl"/>
        </w:rPr>
        <w:t>mas</w:t>
      </w:r>
      <w:proofErr w:type="spellEnd"/>
      <w:proofErr w:type="gramEnd"/>
      <w:r w:rsidRPr="0029579D">
        <w:rPr>
          <w:rFonts w:ascii="Verdana" w:hAnsi="Verdana"/>
          <w:i/>
          <w:iCs/>
          <w:sz w:val="16"/>
          <w:szCs w:val="16"/>
          <w:u w:val="single"/>
          <w:lang w:val="es-ES_tradnl"/>
        </w:rPr>
        <w:t xml:space="preserve"> allá de los límites territoriales de un municipio. Esta Sala de Revisión de la Corte Constitucional considera que el desplazamiento entre la misma ciudad hace parte del desplazamiento interno forzado</w:t>
      </w:r>
      <w:r w:rsidRPr="0029579D">
        <w:rPr>
          <w:rFonts w:ascii="Verdana" w:hAnsi="Verdana"/>
          <w:i/>
          <w:iCs/>
          <w:sz w:val="16"/>
          <w:szCs w:val="16"/>
          <w:lang w:val="es-ES_tradnl"/>
        </w:rPr>
        <w:t xml:space="preserve"> cuando se reúnen los requisitos que caracterizan a este último</w:t>
      </w:r>
      <w:r w:rsidR="00537FB5" w:rsidRPr="0029579D">
        <w:rPr>
          <w:rStyle w:val="FootnoteReference"/>
          <w:rFonts w:ascii="Verdana" w:hAnsi="Verdana"/>
          <w:i/>
          <w:iCs/>
          <w:sz w:val="16"/>
          <w:szCs w:val="16"/>
          <w:lang w:val="es-ES_tradnl"/>
        </w:rPr>
        <w:footnoteReference w:id="137"/>
      </w:r>
      <w:r w:rsidRPr="0029579D">
        <w:rPr>
          <w:rFonts w:ascii="Verdana" w:hAnsi="Verdana"/>
          <w:i/>
          <w:iCs/>
          <w:sz w:val="16"/>
          <w:szCs w:val="16"/>
          <w:lang w:val="es-ES_tradnl"/>
        </w:rPr>
        <w:t>.</w:t>
      </w:r>
      <w:r w:rsidR="0054398A" w:rsidRPr="0029579D">
        <w:rPr>
          <w:rFonts w:ascii="Verdana" w:hAnsi="Verdana"/>
          <w:i/>
          <w:iCs/>
          <w:sz w:val="16"/>
          <w:szCs w:val="16"/>
          <w:lang w:val="es-ES_tradnl"/>
        </w:rPr>
        <w:t xml:space="preserve"> </w:t>
      </w:r>
      <w:r w:rsidR="0054398A" w:rsidRPr="0029579D">
        <w:rPr>
          <w:rFonts w:ascii="Verdana" w:hAnsi="Verdana"/>
          <w:iCs/>
          <w:sz w:val="16"/>
          <w:szCs w:val="16"/>
          <w:lang w:val="es-ES_tradnl"/>
        </w:rPr>
        <w:t>(Subrayado añadido)</w:t>
      </w:r>
    </w:p>
    <w:p w14:paraId="2181692D" w14:textId="77777777" w:rsidR="002E5202" w:rsidRPr="005A4DF1" w:rsidRDefault="002E5202" w:rsidP="00454C7F">
      <w:pPr>
        <w:pStyle w:val="NormalWeb"/>
        <w:spacing w:before="0" w:beforeAutospacing="0" w:after="0" w:afterAutospacing="0"/>
        <w:ind w:left="708" w:right="758"/>
        <w:jc w:val="both"/>
        <w:rPr>
          <w:rFonts w:ascii="Verdana" w:hAnsi="Verdana"/>
          <w:lang w:val="es-ES_tradnl"/>
        </w:rPr>
      </w:pPr>
    </w:p>
    <w:p w14:paraId="30E50C79" w14:textId="0508132A" w:rsidR="006E3713" w:rsidRPr="005A4DF1" w:rsidRDefault="00B7366A" w:rsidP="007B4713">
      <w:pPr>
        <w:pStyle w:val="ListParagraph"/>
        <w:widowControl w:val="0"/>
        <w:autoSpaceDE w:val="0"/>
        <w:autoSpaceDN w:val="0"/>
        <w:adjustRightInd w:val="0"/>
        <w:ind w:left="0"/>
        <w:jc w:val="both"/>
        <w:rPr>
          <w:rFonts w:ascii="Verdana" w:hAnsi="Verdana" w:cs="Times New Roman"/>
          <w:sz w:val="20"/>
          <w:szCs w:val="20"/>
        </w:rPr>
      </w:pPr>
      <w:r>
        <w:rPr>
          <w:rFonts w:ascii="Verdana" w:hAnsi="Verdana" w:cs="Times New Roman"/>
          <w:sz w:val="20"/>
          <w:szCs w:val="20"/>
        </w:rPr>
        <w:t>121</w:t>
      </w:r>
      <w:r w:rsidR="007B4713">
        <w:rPr>
          <w:rFonts w:ascii="Verdana" w:hAnsi="Verdana" w:cs="Times New Roman"/>
          <w:sz w:val="20"/>
          <w:szCs w:val="20"/>
        </w:rPr>
        <w:t xml:space="preserve">. </w:t>
      </w:r>
      <w:r w:rsidR="007B4713">
        <w:rPr>
          <w:rFonts w:ascii="Verdana" w:hAnsi="Verdana" w:cs="Times New Roman"/>
          <w:sz w:val="20"/>
          <w:szCs w:val="20"/>
        </w:rPr>
        <w:tab/>
      </w:r>
      <w:r w:rsidR="006E3713" w:rsidRPr="005A4DF1">
        <w:rPr>
          <w:rFonts w:ascii="Verdana" w:hAnsi="Verdana" w:cs="Times New Roman"/>
          <w:sz w:val="20"/>
          <w:szCs w:val="20"/>
        </w:rPr>
        <w:t>En este sentido, el artículo 22 de la Convención Americana</w:t>
      </w:r>
      <w:r w:rsidR="0087303C" w:rsidRPr="005A4DF1">
        <w:rPr>
          <w:rFonts w:ascii="Verdana" w:hAnsi="Verdana" w:cs="Times New Roman"/>
          <w:sz w:val="20"/>
          <w:szCs w:val="20"/>
        </w:rPr>
        <w:t>,</w:t>
      </w:r>
      <w:r w:rsidR="006E3713" w:rsidRPr="005A4DF1">
        <w:rPr>
          <w:rFonts w:ascii="Verdana" w:hAnsi="Verdana" w:cs="Times New Roman"/>
          <w:sz w:val="20"/>
          <w:szCs w:val="20"/>
        </w:rPr>
        <w:t xml:space="preserve"> en este</w:t>
      </w:r>
      <w:r w:rsidR="005F2697" w:rsidRPr="005A4DF1">
        <w:rPr>
          <w:rFonts w:ascii="Verdana" w:hAnsi="Verdana" w:cs="Times New Roman"/>
          <w:sz w:val="20"/>
          <w:szCs w:val="20"/>
        </w:rPr>
        <w:t xml:space="preserve"> tipo de</w:t>
      </w:r>
      <w:r w:rsidR="006E3713" w:rsidRPr="005A4DF1">
        <w:rPr>
          <w:rFonts w:ascii="Verdana" w:hAnsi="Verdana" w:cs="Times New Roman"/>
          <w:sz w:val="20"/>
          <w:szCs w:val="20"/>
        </w:rPr>
        <w:t xml:space="preserve"> caso</w:t>
      </w:r>
      <w:r w:rsidR="005F2697" w:rsidRPr="005A4DF1">
        <w:rPr>
          <w:rFonts w:ascii="Verdana" w:hAnsi="Verdana" w:cs="Times New Roman"/>
          <w:sz w:val="20"/>
          <w:szCs w:val="20"/>
        </w:rPr>
        <w:t>s</w:t>
      </w:r>
      <w:r w:rsidR="0087303C" w:rsidRPr="005A4DF1">
        <w:rPr>
          <w:rFonts w:ascii="Verdana" w:hAnsi="Verdana" w:cs="Times New Roman"/>
          <w:sz w:val="20"/>
          <w:szCs w:val="20"/>
        </w:rPr>
        <w:t>,</w:t>
      </w:r>
      <w:r w:rsidR="008249C0" w:rsidRPr="005A4DF1">
        <w:rPr>
          <w:rFonts w:ascii="Verdana" w:hAnsi="Verdana" w:cs="Times New Roman"/>
          <w:sz w:val="20"/>
          <w:szCs w:val="20"/>
        </w:rPr>
        <w:t xml:space="preserve"> también debe entenderse </w:t>
      </w:r>
      <w:r w:rsidR="008249C0" w:rsidRPr="005A4DF1">
        <w:rPr>
          <w:rFonts w:ascii="Verdana" w:hAnsi="Verdana"/>
          <w:sz w:val="20"/>
          <w:szCs w:val="20"/>
        </w:rPr>
        <w:t>—</w:t>
      </w:r>
      <w:r w:rsidR="006E3713" w:rsidRPr="005A4DF1">
        <w:rPr>
          <w:rFonts w:ascii="Verdana" w:hAnsi="Verdana" w:cs="Times New Roman"/>
          <w:sz w:val="20"/>
          <w:szCs w:val="20"/>
        </w:rPr>
        <w:t>co</w:t>
      </w:r>
      <w:r w:rsidR="008249C0" w:rsidRPr="005A4DF1">
        <w:rPr>
          <w:rFonts w:ascii="Verdana" w:hAnsi="Verdana" w:cs="Times New Roman"/>
          <w:sz w:val="20"/>
          <w:szCs w:val="20"/>
        </w:rPr>
        <w:t>mo se pone de manifiesto en la S</w:t>
      </w:r>
      <w:r w:rsidR="006E3713" w:rsidRPr="005A4DF1">
        <w:rPr>
          <w:rFonts w:ascii="Verdana" w:hAnsi="Verdana" w:cs="Times New Roman"/>
          <w:sz w:val="20"/>
          <w:szCs w:val="20"/>
        </w:rPr>
        <w:t>entencia al declarar la violación de esta norma convencional</w:t>
      </w:r>
      <w:r w:rsidR="008249C0" w:rsidRPr="005A4DF1">
        <w:rPr>
          <w:rFonts w:ascii="Verdana" w:hAnsi="Verdana"/>
          <w:sz w:val="20"/>
          <w:szCs w:val="20"/>
        </w:rPr>
        <w:t>—</w:t>
      </w:r>
      <w:r w:rsidR="006E3713" w:rsidRPr="005A4DF1">
        <w:rPr>
          <w:rFonts w:ascii="Verdana" w:hAnsi="Verdana" w:cs="Times New Roman"/>
          <w:sz w:val="20"/>
          <w:szCs w:val="20"/>
        </w:rPr>
        <w:t xml:space="preserve">que el desplazamiento forzado interno también </w:t>
      </w:r>
      <w:r w:rsidR="0077690A" w:rsidRPr="005A4DF1">
        <w:rPr>
          <w:rFonts w:ascii="Verdana" w:hAnsi="Verdana" w:cs="Times New Roman"/>
          <w:sz w:val="20"/>
          <w:szCs w:val="20"/>
        </w:rPr>
        <w:t>puede llegar a configurarse</w:t>
      </w:r>
      <w:r w:rsidR="006E3713" w:rsidRPr="005A4DF1">
        <w:rPr>
          <w:rFonts w:ascii="Verdana" w:hAnsi="Verdana" w:cs="Times New Roman"/>
          <w:sz w:val="20"/>
          <w:szCs w:val="20"/>
        </w:rPr>
        <w:t xml:space="preserve"> en aquellas situaciones en las cuales dicho desplazamiento </w:t>
      </w:r>
      <w:r w:rsidR="006E3713" w:rsidRPr="005A4DF1">
        <w:rPr>
          <w:rFonts w:ascii="Verdana" w:hAnsi="Verdana" w:cs="Times New Roman"/>
          <w:i/>
          <w:sz w:val="20"/>
          <w:szCs w:val="20"/>
        </w:rPr>
        <w:t xml:space="preserve">se </w:t>
      </w:r>
      <w:proofErr w:type="spellStart"/>
      <w:r w:rsidR="006E3713" w:rsidRPr="005A4DF1">
        <w:rPr>
          <w:rFonts w:ascii="Verdana" w:hAnsi="Verdana" w:cs="Times New Roman"/>
          <w:i/>
          <w:sz w:val="20"/>
          <w:szCs w:val="20"/>
        </w:rPr>
        <w:t>de</w:t>
      </w:r>
      <w:proofErr w:type="spellEnd"/>
      <w:r w:rsidR="006E3713" w:rsidRPr="005A4DF1">
        <w:rPr>
          <w:rFonts w:ascii="Verdana" w:hAnsi="Verdana" w:cs="Times New Roman"/>
          <w:i/>
          <w:sz w:val="20"/>
          <w:szCs w:val="20"/>
        </w:rPr>
        <w:t xml:space="preserve"> entre lugares de la misma ciudad</w:t>
      </w:r>
      <w:r w:rsidR="0077690A" w:rsidRPr="005A4DF1">
        <w:rPr>
          <w:rFonts w:ascii="Verdana" w:hAnsi="Verdana" w:cs="Times New Roman"/>
          <w:i/>
          <w:sz w:val="20"/>
          <w:szCs w:val="20"/>
        </w:rPr>
        <w:t xml:space="preserve"> </w:t>
      </w:r>
      <w:r w:rsidR="0077690A" w:rsidRPr="005A4DF1">
        <w:rPr>
          <w:rFonts w:ascii="Verdana" w:hAnsi="Verdana" w:cs="Times New Roman"/>
          <w:sz w:val="20"/>
          <w:szCs w:val="20"/>
        </w:rPr>
        <w:t xml:space="preserve">por </w:t>
      </w:r>
      <w:r w:rsidR="0077690A" w:rsidRPr="005A4DF1">
        <w:rPr>
          <w:rFonts w:ascii="Verdana" w:hAnsi="Verdana"/>
          <w:sz w:val="20"/>
          <w:szCs w:val="20"/>
        </w:rPr>
        <w:t>los efectos de un conflicto armado, de situaci</w:t>
      </w:r>
      <w:r w:rsidR="005F2697" w:rsidRPr="005A4DF1">
        <w:rPr>
          <w:rFonts w:ascii="Verdana" w:hAnsi="Verdana"/>
          <w:sz w:val="20"/>
          <w:szCs w:val="20"/>
        </w:rPr>
        <w:t xml:space="preserve">ones de violencia generalizada o </w:t>
      </w:r>
      <w:r w:rsidR="0077690A" w:rsidRPr="005A4DF1">
        <w:rPr>
          <w:rFonts w:ascii="Verdana" w:hAnsi="Verdana"/>
          <w:sz w:val="20"/>
          <w:szCs w:val="20"/>
        </w:rPr>
        <w:t>de violaciones de los derechos humanos</w:t>
      </w:r>
      <w:r w:rsidR="006E3713" w:rsidRPr="005A4DF1">
        <w:rPr>
          <w:rFonts w:ascii="Verdana" w:hAnsi="Verdana" w:cs="Times New Roman"/>
          <w:i/>
          <w:sz w:val="20"/>
          <w:szCs w:val="20"/>
        </w:rPr>
        <w:t xml:space="preserve">. </w:t>
      </w:r>
      <w:r w:rsidR="006E3713" w:rsidRPr="005A4DF1">
        <w:rPr>
          <w:rFonts w:ascii="Verdana" w:hAnsi="Verdana" w:cs="Times New Roman"/>
          <w:sz w:val="20"/>
          <w:szCs w:val="20"/>
        </w:rPr>
        <w:t xml:space="preserve">Lo anterior, debido a que el fenómeno de desplazamiento forzado interno, </w:t>
      </w:r>
      <w:r w:rsidR="006E3713" w:rsidRPr="005A4DF1">
        <w:rPr>
          <w:rFonts w:ascii="Verdana" w:hAnsi="Verdana" w:cs="Times New Roman"/>
          <w:sz w:val="20"/>
          <w:szCs w:val="20"/>
        </w:rPr>
        <w:lastRenderedPageBreak/>
        <w:t xml:space="preserve">en sus diferentes formas, es una circunstancia de </w:t>
      </w:r>
      <w:r w:rsidR="006E3713" w:rsidRPr="005A4DF1">
        <w:rPr>
          <w:rFonts w:ascii="Verdana" w:hAnsi="Verdana" w:cs="Times New Roman"/>
          <w:i/>
          <w:sz w:val="20"/>
          <w:szCs w:val="20"/>
        </w:rPr>
        <w:t xml:space="preserve">facto </w:t>
      </w:r>
      <w:r w:rsidR="006E3713" w:rsidRPr="005A4DF1">
        <w:rPr>
          <w:rFonts w:ascii="Verdana" w:hAnsi="Verdana" w:cs="Times New Roman"/>
          <w:sz w:val="20"/>
          <w:szCs w:val="20"/>
        </w:rPr>
        <w:t>y no depende del reconocimiento o denominación jurídica que el Estado otorgue. Así</w:t>
      </w:r>
      <w:r w:rsidR="0077690A" w:rsidRPr="005A4DF1">
        <w:rPr>
          <w:rFonts w:ascii="Verdana" w:hAnsi="Verdana" w:cs="Times New Roman"/>
          <w:sz w:val="20"/>
          <w:szCs w:val="20"/>
        </w:rPr>
        <w:t>,</w:t>
      </w:r>
      <w:r w:rsidR="006E3713" w:rsidRPr="005A4DF1">
        <w:rPr>
          <w:rFonts w:ascii="Verdana" w:hAnsi="Verdana" w:cs="Times New Roman"/>
          <w:sz w:val="20"/>
          <w:szCs w:val="20"/>
        </w:rPr>
        <w:t xml:space="preserve"> dos son los elementos fundamentales para identificar a personas que se encuentran en una situación de desplazamiento interno: a) la coacción necesaria para su traslado</w:t>
      </w:r>
      <w:r w:rsidR="008249C0" w:rsidRPr="005A4DF1">
        <w:rPr>
          <w:rFonts w:ascii="Verdana" w:hAnsi="Verdana" w:cs="Times New Roman"/>
          <w:sz w:val="20"/>
          <w:szCs w:val="20"/>
        </w:rPr>
        <w:t>,</w:t>
      </w:r>
      <w:r w:rsidR="006E3713" w:rsidRPr="005A4DF1">
        <w:rPr>
          <w:rFonts w:ascii="Verdana" w:hAnsi="Verdana" w:cs="Times New Roman"/>
          <w:sz w:val="20"/>
          <w:szCs w:val="20"/>
        </w:rPr>
        <w:t xml:space="preserve"> y b) la permanencia dentro de las fronteras del propio país. </w:t>
      </w:r>
      <w:r w:rsidR="008447E8" w:rsidRPr="005A4DF1">
        <w:rPr>
          <w:rFonts w:ascii="Verdana" w:hAnsi="Verdana" w:cs="Times New Roman"/>
          <w:sz w:val="20"/>
          <w:szCs w:val="20"/>
        </w:rPr>
        <w:t>Por otro lado, no es, ni puede ser exigible, que para la calificación del desplazamiento interno se</w:t>
      </w:r>
      <w:r w:rsidR="00F86445">
        <w:rPr>
          <w:rFonts w:ascii="Verdana" w:hAnsi="Verdana" w:cs="Times New Roman"/>
          <w:sz w:val="20"/>
          <w:szCs w:val="20"/>
        </w:rPr>
        <w:t xml:space="preserve"> tenga que ir más allá de los lí</w:t>
      </w:r>
      <w:r w:rsidR="008447E8" w:rsidRPr="005A4DF1">
        <w:rPr>
          <w:rFonts w:ascii="Verdana" w:hAnsi="Verdana" w:cs="Times New Roman"/>
          <w:sz w:val="20"/>
          <w:szCs w:val="20"/>
        </w:rPr>
        <w:t>mites territoriales, inclusive de la misma ciudad de residencia. Así, lo único relevante en este tipo de circunstancia es que las personas afectadas se hayan</w:t>
      </w:r>
      <w:r w:rsidR="008447E8" w:rsidRPr="005A4DF1">
        <w:rPr>
          <w:rFonts w:ascii="Verdana" w:hAnsi="Verdana"/>
          <w:sz w:val="20"/>
          <w:szCs w:val="20"/>
        </w:rPr>
        <w:t xml:space="preserve"> visto forzadas u obligadas a escapar o huir de su hogar o de su lugar de residencia habitual, ya sea su vivienda o localidad. </w:t>
      </w:r>
    </w:p>
    <w:p w14:paraId="1C09DE78" w14:textId="77777777" w:rsidR="008447E8" w:rsidRPr="005A4DF1" w:rsidRDefault="008447E8" w:rsidP="00454C7F">
      <w:pPr>
        <w:pStyle w:val="ListParagraph"/>
        <w:widowControl w:val="0"/>
        <w:autoSpaceDE w:val="0"/>
        <w:autoSpaceDN w:val="0"/>
        <w:adjustRightInd w:val="0"/>
        <w:ind w:left="0"/>
        <w:jc w:val="both"/>
        <w:rPr>
          <w:rFonts w:ascii="Verdana" w:hAnsi="Verdana" w:cs="Times New Roman"/>
          <w:sz w:val="20"/>
          <w:szCs w:val="20"/>
        </w:rPr>
      </w:pPr>
    </w:p>
    <w:p w14:paraId="2D807581" w14:textId="669747FC" w:rsidR="001B41C7" w:rsidRPr="005A4DF1" w:rsidRDefault="00B7366A" w:rsidP="007B4713">
      <w:pPr>
        <w:pStyle w:val="ListParagraph"/>
        <w:widowControl w:val="0"/>
        <w:autoSpaceDE w:val="0"/>
        <w:autoSpaceDN w:val="0"/>
        <w:adjustRightInd w:val="0"/>
        <w:ind w:left="0"/>
        <w:jc w:val="both"/>
        <w:rPr>
          <w:rFonts w:ascii="Verdana" w:hAnsi="Verdana" w:cs="Times New Roman"/>
          <w:sz w:val="20"/>
          <w:szCs w:val="20"/>
        </w:rPr>
      </w:pPr>
      <w:r>
        <w:rPr>
          <w:rFonts w:ascii="Verdana" w:hAnsi="Verdana" w:cs="Times New Roman"/>
          <w:sz w:val="20"/>
          <w:szCs w:val="20"/>
        </w:rPr>
        <w:t>122</w:t>
      </w:r>
      <w:r w:rsidR="007B4713">
        <w:rPr>
          <w:rFonts w:ascii="Verdana" w:hAnsi="Verdana" w:cs="Times New Roman"/>
          <w:sz w:val="20"/>
          <w:szCs w:val="20"/>
        </w:rPr>
        <w:t xml:space="preserve">. </w:t>
      </w:r>
      <w:r w:rsidR="007B4713">
        <w:rPr>
          <w:rFonts w:ascii="Verdana" w:hAnsi="Verdana" w:cs="Times New Roman"/>
          <w:sz w:val="20"/>
          <w:szCs w:val="20"/>
        </w:rPr>
        <w:tab/>
      </w:r>
      <w:r w:rsidR="008447E8" w:rsidRPr="005A4DF1">
        <w:rPr>
          <w:rFonts w:ascii="Verdana" w:hAnsi="Verdana" w:cs="Times New Roman"/>
          <w:sz w:val="20"/>
          <w:szCs w:val="20"/>
        </w:rPr>
        <w:t xml:space="preserve">Adicionalmente, el fenómeno de </w:t>
      </w:r>
      <w:r w:rsidR="008447E8" w:rsidRPr="005A4DF1">
        <w:rPr>
          <w:rFonts w:ascii="Verdana" w:hAnsi="Verdana" w:cs="Times New Roman"/>
          <w:i/>
          <w:sz w:val="20"/>
          <w:szCs w:val="20"/>
        </w:rPr>
        <w:t>des</w:t>
      </w:r>
      <w:r w:rsidR="0077690A" w:rsidRPr="005A4DF1">
        <w:rPr>
          <w:rFonts w:ascii="Verdana" w:hAnsi="Verdana" w:cs="Times New Roman"/>
          <w:i/>
          <w:sz w:val="20"/>
          <w:szCs w:val="20"/>
        </w:rPr>
        <w:t xml:space="preserve">plazamiento forzado </w:t>
      </w:r>
      <w:proofErr w:type="spellStart"/>
      <w:r w:rsidR="0077690A" w:rsidRPr="005A4DF1">
        <w:rPr>
          <w:rFonts w:ascii="Verdana" w:hAnsi="Verdana" w:cs="Times New Roman"/>
          <w:i/>
          <w:sz w:val="20"/>
          <w:szCs w:val="20"/>
        </w:rPr>
        <w:t>intraurbano</w:t>
      </w:r>
      <w:proofErr w:type="spellEnd"/>
      <w:r w:rsidR="0077690A" w:rsidRPr="005A4DF1">
        <w:rPr>
          <w:rFonts w:ascii="Verdana" w:hAnsi="Verdana" w:cs="Times New Roman"/>
          <w:sz w:val="20"/>
          <w:szCs w:val="20"/>
        </w:rPr>
        <w:t xml:space="preserve">, además de vulnerar el derecho de circulación y residencia,  </w:t>
      </w:r>
      <w:r w:rsidR="008447E8" w:rsidRPr="005A4DF1">
        <w:rPr>
          <w:rFonts w:ascii="Verdana" w:hAnsi="Verdana" w:cs="Times New Roman"/>
          <w:sz w:val="20"/>
          <w:szCs w:val="20"/>
        </w:rPr>
        <w:t xml:space="preserve">también se encuentra asociado a </w:t>
      </w:r>
      <w:r w:rsidR="0077690A" w:rsidRPr="005A4DF1">
        <w:rPr>
          <w:rFonts w:ascii="Verdana" w:hAnsi="Verdana" w:cs="Times New Roman"/>
          <w:sz w:val="20"/>
          <w:szCs w:val="20"/>
        </w:rPr>
        <w:t>la vulneración a otros derechos humanos como la vida, el trabajo, la integridad personal, la educación, la vivienda en condiciones dignas, la seguridad social, la salud, entre otros</w:t>
      </w:r>
      <w:r w:rsidR="00537FB5" w:rsidRPr="005A4DF1">
        <w:rPr>
          <w:rStyle w:val="FootnoteReference"/>
          <w:rFonts w:ascii="Verdana" w:hAnsi="Verdana" w:cs="Times New Roman"/>
          <w:sz w:val="20"/>
          <w:szCs w:val="20"/>
        </w:rPr>
        <w:footnoteReference w:id="138"/>
      </w:r>
      <w:r w:rsidR="0077690A" w:rsidRPr="005A4DF1">
        <w:rPr>
          <w:rFonts w:ascii="Verdana" w:hAnsi="Verdana" w:cs="Times New Roman"/>
          <w:sz w:val="20"/>
          <w:szCs w:val="20"/>
        </w:rPr>
        <w:t>.</w:t>
      </w:r>
      <w:r w:rsidR="00C55AA3" w:rsidRPr="005A4DF1">
        <w:rPr>
          <w:rFonts w:ascii="Verdana" w:hAnsi="Verdana" w:cs="Times New Roman"/>
          <w:sz w:val="20"/>
          <w:szCs w:val="20"/>
        </w:rPr>
        <w:t xml:space="preserve"> </w:t>
      </w:r>
      <w:r w:rsidR="008249C0" w:rsidRPr="005A4DF1">
        <w:rPr>
          <w:rFonts w:ascii="Verdana" w:hAnsi="Verdana" w:cs="Times New Roman"/>
          <w:sz w:val="20"/>
          <w:szCs w:val="20"/>
          <w:u w:val="single"/>
        </w:rPr>
        <w:t>R</w:t>
      </w:r>
      <w:r w:rsidR="00C55AA3" w:rsidRPr="005A4DF1">
        <w:rPr>
          <w:rFonts w:ascii="Verdana" w:hAnsi="Verdana" w:cs="Times New Roman"/>
          <w:sz w:val="20"/>
          <w:szCs w:val="20"/>
          <w:u w:val="single"/>
        </w:rPr>
        <w:t xml:space="preserve">especto del </w:t>
      </w:r>
      <w:r w:rsidR="00C55AA3" w:rsidRPr="005A4DF1">
        <w:rPr>
          <w:rFonts w:ascii="Verdana" w:hAnsi="Verdana" w:cs="Times New Roman"/>
          <w:i/>
          <w:sz w:val="20"/>
          <w:szCs w:val="20"/>
          <w:u w:val="single"/>
        </w:rPr>
        <w:t>derecho a la vivienda</w:t>
      </w:r>
      <w:r w:rsidR="00C55AA3" w:rsidRPr="005A4DF1">
        <w:rPr>
          <w:rFonts w:ascii="Verdana" w:hAnsi="Verdana" w:cs="Times New Roman"/>
          <w:sz w:val="20"/>
          <w:szCs w:val="20"/>
          <w:u w:val="single"/>
        </w:rPr>
        <w:t>, las mujeres desplazadas sufren de manera desproporcionada esta violación de derechos humanos respecto de los hombres</w:t>
      </w:r>
      <w:r w:rsidR="00A758B2" w:rsidRPr="00813000">
        <w:rPr>
          <w:rStyle w:val="FootnoteReference"/>
          <w:rFonts w:ascii="Verdana" w:hAnsi="Verdana" w:cs="Times New Roman"/>
          <w:sz w:val="20"/>
          <w:szCs w:val="20"/>
        </w:rPr>
        <w:footnoteReference w:id="139"/>
      </w:r>
      <w:r w:rsidR="00537FB5" w:rsidRPr="005A4DF1">
        <w:rPr>
          <w:rFonts w:ascii="Verdana" w:hAnsi="Verdana" w:cs="Times New Roman"/>
          <w:sz w:val="20"/>
          <w:szCs w:val="20"/>
        </w:rPr>
        <w:t xml:space="preserve">. </w:t>
      </w:r>
      <w:r w:rsidR="00C55AA3" w:rsidRPr="005A4DF1">
        <w:rPr>
          <w:rFonts w:ascii="Verdana" w:hAnsi="Verdana" w:cs="Times New Roman"/>
          <w:sz w:val="20"/>
          <w:szCs w:val="20"/>
        </w:rPr>
        <w:t xml:space="preserve"> </w:t>
      </w:r>
    </w:p>
    <w:p w14:paraId="14010B12" w14:textId="77777777" w:rsidR="001B41C7" w:rsidRPr="005A4DF1" w:rsidRDefault="001B41C7" w:rsidP="00454C7F">
      <w:pPr>
        <w:widowControl w:val="0"/>
        <w:autoSpaceDE w:val="0"/>
        <w:autoSpaceDN w:val="0"/>
        <w:adjustRightInd w:val="0"/>
        <w:jc w:val="both"/>
        <w:rPr>
          <w:rFonts w:ascii="Verdana" w:hAnsi="Verdana" w:cs="Times New Roman"/>
          <w:sz w:val="20"/>
          <w:szCs w:val="20"/>
        </w:rPr>
      </w:pPr>
    </w:p>
    <w:p w14:paraId="6C54DC9E" w14:textId="74816C9A" w:rsidR="005A3196" w:rsidRPr="005A4DF1" w:rsidRDefault="00B7366A" w:rsidP="007B4713">
      <w:pPr>
        <w:pStyle w:val="ListParagraph"/>
        <w:widowControl w:val="0"/>
        <w:autoSpaceDE w:val="0"/>
        <w:autoSpaceDN w:val="0"/>
        <w:adjustRightInd w:val="0"/>
        <w:ind w:left="0"/>
        <w:jc w:val="both"/>
        <w:rPr>
          <w:rFonts w:ascii="Verdana" w:hAnsi="Verdana" w:cs="Times New Roman"/>
          <w:b/>
          <w:sz w:val="20"/>
          <w:szCs w:val="20"/>
        </w:rPr>
      </w:pPr>
      <w:r>
        <w:rPr>
          <w:rFonts w:ascii="Verdana" w:hAnsi="Verdana" w:cs="Times New Roman"/>
          <w:sz w:val="20"/>
          <w:szCs w:val="20"/>
        </w:rPr>
        <w:t>123</w:t>
      </w:r>
      <w:r w:rsidR="007B4713">
        <w:rPr>
          <w:rFonts w:ascii="Verdana" w:hAnsi="Verdana" w:cs="Times New Roman"/>
          <w:sz w:val="20"/>
          <w:szCs w:val="20"/>
        </w:rPr>
        <w:t xml:space="preserve">. </w:t>
      </w:r>
      <w:r w:rsidR="007B4713">
        <w:rPr>
          <w:rFonts w:ascii="Verdana" w:hAnsi="Verdana" w:cs="Times New Roman"/>
          <w:sz w:val="20"/>
          <w:szCs w:val="20"/>
        </w:rPr>
        <w:tab/>
      </w:r>
      <w:r w:rsidR="001B41C7" w:rsidRPr="005A4DF1">
        <w:rPr>
          <w:rFonts w:ascii="Verdana" w:hAnsi="Verdana" w:cs="Times New Roman"/>
          <w:sz w:val="20"/>
          <w:szCs w:val="20"/>
        </w:rPr>
        <w:t xml:space="preserve">Al respecto, el Comité para la Eliminación de la Discriminación contra la Mujer en su Recomendación General No. 30 sobre </w:t>
      </w:r>
      <w:r w:rsidR="001B41C7" w:rsidRPr="005A4DF1">
        <w:rPr>
          <w:rFonts w:ascii="Verdana" w:hAnsi="Verdana" w:cs="Times New Roman"/>
          <w:i/>
          <w:sz w:val="20"/>
          <w:szCs w:val="20"/>
        </w:rPr>
        <w:t>las mujeres en la prevención de conflictos y en situaciones de conflicto y posteriores a conflicto</w:t>
      </w:r>
      <w:r w:rsidR="008249C0" w:rsidRPr="005A4DF1">
        <w:rPr>
          <w:rFonts w:ascii="Verdana" w:hAnsi="Verdana" w:cs="Times New Roman"/>
          <w:i/>
          <w:sz w:val="20"/>
          <w:szCs w:val="20"/>
        </w:rPr>
        <w:t>,</w:t>
      </w:r>
      <w:r w:rsidR="001B41C7" w:rsidRPr="005A4DF1">
        <w:rPr>
          <w:rFonts w:ascii="Verdana" w:hAnsi="Verdana" w:cs="Times New Roman"/>
          <w:i/>
          <w:sz w:val="20"/>
          <w:szCs w:val="20"/>
        </w:rPr>
        <w:t xml:space="preserve"> </w:t>
      </w:r>
      <w:r w:rsidR="001B41C7" w:rsidRPr="005A4DF1">
        <w:rPr>
          <w:rFonts w:ascii="Verdana" w:hAnsi="Verdana" w:cs="Times New Roman"/>
          <w:sz w:val="20"/>
          <w:szCs w:val="20"/>
        </w:rPr>
        <w:t xml:space="preserve">ha señalado que, en el caso del desplazamientos </w:t>
      </w:r>
      <w:r w:rsidR="001B41C7" w:rsidRPr="005A4DF1">
        <w:rPr>
          <w:rFonts w:ascii="Verdana" w:hAnsi="Verdana" w:cs="Times"/>
          <w:sz w:val="20"/>
          <w:szCs w:val="20"/>
        </w:rPr>
        <w:t xml:space="preserve">internos, éstos  tienen dimensiones de género específicas en todas las etapas del ciclo del desplazamiento; durante la huida, el asentamiento y el regreso a las zonas afectadas por conflictos, las mujeres y las niñas son especialmente vulnerables al desplazamiento forzado. Así, </w:t>
      </w:r>
      <w:r w:rsidR="005F2697" w:rsidRPr="005A4DF1">
        <w:rPr>
          <w:rFonts w:ascii="Verdana" w:hAnsi="Verdana" w:cs="Times New Roman"/>
          <w:sz w:val="20"/>
          <w:szCs w:val="20"/>
        </w:rPr>
        <w:t>la Convención para la E</w:t>
      </w:r>
      <w:r w:rsidR="001B41C7" w:rsidRPr="005A4DF1">
        <w:rPr>
          <w:rFonts w:ascii="Verdana" w:hAnsi="Verdana" w:cs="Times New Roman"/>
          <w:sz w:val="20"/>
          <w:szCs w:val="20"/>
        </w:rPr>
        <w:t>lim</w:t>
      </w:r>
      <w:r w:rsidR="005F2697" w:rsidRPr="005A4DF1">
        <w:rPr>
          <w:rFonts w:ascii="Verdana" w:hAnsi="Verdana" w:cs="Times New Roman"/>
          <w:sz w:val="20"/>
          <w:szCs w:val="20"/>
        </w:rPr>
        <w:t>inación de todas las formas de Discriminación contra la M</w:t>
      </w:r>
      <w:r w:rsidR="001B41C7" w:rsidRPr="005A4DF1">
        <w:rPr>
          <w:rFonts w:ascii="Verdana" w:hAnsi="Verdana" w:cs="Times New Roman"/>
          <w:sz w:val="20"/>
          <w:szCs w:val="20"/>
        </w:rPr>
        <w:t>ujer, se aplica en todas las etapas del ciclo de desplazamiento y que las situaciones de desplazamiento forzado afectan a las mujeres de modo diferente a los hombres e incluyen violencia y discriminación por razón de género</w:t>
      </w:r>
      <w:r w:rsidR="00F72615" w:rsidRPr="005A4DF1">
        <w:rPr>
          <w:rStyle w:val="FootnoteReference"/>
          <w:rFonts w:ascii="Verdana" w:hAnsi="Verdana" w:cs="Times New Roman"/>
          <w:sz w:val="20"/>
          <w:szCs w:val="20"/>
        </w:rPr>
        <w:footnoteReference w:id="140"/>
      </w:r>
      <w:r w:rsidR="00146629" w:rsidRPr="005A4DF1">
        <w:rPr>
          <w:rFonts w:ascii="Verdana" w:hAnsi="Verdana" w:cs="Times New Roman"/>
          <w:sz w:val="20"/>
          <w:szCs w:val="20"/>
        </w:rPr>
        <w:t>.</w:t>
      </w:r>
    </w:p>
    <w:p w14:paraId="6CCA31EC" w14:textId="77777777" w:rsidR="00B80A1F" w:rsidRPr="005A4DF1" w:rsidRDefault="00B80A1F" w:rsidP="00454C7F">
      <w:pPr>
        <w:widowControl w:val="0"/>
        <w:autoSpaceDE w:val="0"/>
        <w:autoSpaceDN w:val="0"/>
        <w:adjustRightInd w:val="0"/>
        <w:jc w:val="both"/>
        <w:rPr>
          <w:rFonts w:ascii="Verdana" w:hAnsi="Verdana" w:cs="Times New Roman"/>
          <w:b/>
          <w:sz w:val="20"/>
          <w:szCs w:val="20"/>
        </w:rPr>
      </w:pPr>
    </w:p>
    <w:p w14:paraId="0CA585EF" w14:textId="6C153869" w:rsidR="00C5155F" w:rsidRPr="005A4DF1" w:rsidRDefault="00B7366A" w:rsidP="007B4713">
      <w:pPr>
        <w:pStyle w:val="ListParagraph"/>
        <w:widowControl w:val="0"/>
        <w:autoSpaceDE w:val="0"/>
        <w:autoSpaceDN w:val="0"/>
        <w:adjustRightInd w:val="0"/>
        <w:ind w:left="0"/>
        <w:jc w:val="both"/>
        <w:rPr>
          <w:rFonts w:ascii="Verdana" w:hAnsi="Verdana" w:cs="Times New Roman"/>
          <w:sz w:val="20"/>
          <w:szCs w:val="20"/>
        </w:rPr>
      </w:pPr>
      <w:r>
        <w:rPr>
          <w:rFonts w:ascii="Verdana" w:hAnsi="Verdana" w:cs="Times New Roman"/>
          <w:sz w:val="20"/>
          <w:szCs w:val="20"/>
        </w:rPr>
        <w:t>124</w:t>
      </w:r>
      <w:r w:rsidR="007B4713">
        <w:rPr>
          <w:rFonts w:ascii="Verdana" w:hAnsi="Verdana" w:cs="Times New Roman"/>
          <w:sz w:val="20"/>
          <w:szCs w:val="20"/>
        </w:rPr>
        <w:t xml:space="preserve">. </w:t>
      </w:r>
      <w:r w:rsidR="007B4713">
        <w:rPr>
          <w:rFonts w:ascii="Verdana" w:hAnsi="Verdana" w:cs="Times New Roman"/>
          <w:sz w:val="20"/>
          <w:szCs w:val="20"/>
        </w:rPr>
        <w:tab/>
      </w:r>
      <w:r w:rsidR="00C5155F" w:rsidRPr="005A4DF1">
        <w:rPr>
          <w:rFonts w:ascii="Verdana" w:hAnsi="Verdana" w:cs="Times New Roman"/>
          <w:sz w:val="20"/>
          <w:szCs w:val="20"/>
        </w:rPr>
        <w:t>Adicionalmente, las mujeres en situaciones de conflicto o posteriores a los conflictos</w:t>
      </w:r>
      <w:r w:rsidR="00A87CAA" w:rsidRPr="005A4DF1">
        <w:rPr>
          <w:rFonts w:ascii="Verdana" w:hAnsi="Verdana" w:cs="Times New Roman"/>
          <w:sz w:val="20"/>
          <w:szCs w:val="20"/>
        </w:rPr>
        <w:t>,</w:t>
      </w:r>
      <w:r w:rsidR="00C5155F" w:rsidRPr="005A4DF1">
        <w:rPr>
          <w:rFonts w:ascii="Verdana" w:hAnsi="Verdana" w:cs="Times New Roman"/>
          <w:sz w:val="20"/>
          <w:szCs w:val="20"/>
        </w:rPr>
        <w:t xml:space="preserve"> afectan de forma distinta a hombres y mujeres</w:t>
      </w:r>
      <w:r w:rsidR="008249C0" w:rsidRPr="005A4DF1">
        <w:rPr>
          <w:rFonts w:ascii="Verdana" w:hAnsi="Verdana" w:cs="Times New Roman"/>
          <w:sz w:val="20"/>
          <w:szCs w:val="20"/>
        </w:rPr>
        <w:t>, pudiendo</w:t>
      </w:r>
      <w:r w:rsidR="00C5155F" w:rsidRPr="005A4DF1">
        <w:rPr>
          <w:rFonts w:ascii="Verdana" w:hAnsi="Verdana" w:cs="Times New Roman"/>
          <w:sz w:val="20"/>
          <w:szCs w:val="20"/>
        </w:rPr>
        <w:t xml:space="preserve"> exacerbar una </w:t>
      </w:r>
      <w:r w:rsidR="00C5155F" w:rsidRPr="005A4DF1">
        <w:rPr>
          <w:rFonts w:ascii="Verdana" w:hAnsi="Verdana" w:cs="Times New Roman"/>
          <w:sz w:val="20"/>
          <w:szCs w:val="20"/>
        </w:rPr>
        <w:lastRenderedPageBreak/>
        <w:t>discriminación ya existente contra la mujer. La destrucción de sus hogares, de la estructura familiar y de la comunidad dejan a las mujeres en una situación especialmente vulnerable. En algunos casos, la fase de reconstrucción puede suponer para las mujeres una oportunidad de exigir sus derechos y hacer valer sus derechos a la tierra, a la vivienda y a la propiedad. Sin embargo, en muchos casos, las mujeres que intentar reclamar estos derechos se enfrentan a situaciones de discriminación</w:t>
      </w:r>
      <w:r w:rsidR="00C5155F" w:rsidRPr="005A4DF1">
        <w:rPr>
          <w:rStyle w:val="FootnoteReference"/>
          <w:rFonts w:ascii="Verdana" w:hAnsi="Verdana" w:cs="Times New Roman"/>
          <w:sz w:val="20"/>
          <w:szCs w:val="20"/>
        </w:rPr>
        <w:footnoteReference w:id="141"/>
      </w:r>
      <w:r w:rsidR="00C5155F" w:rsidRPr="005A4DF1">
        <w:rPr>
          <w:rFonts w:ascii="Verdana" w:hAnsi="Verdana" w:cs="Times New Roman"/>
          <w:sz w:val="20"/>
          <w:szCs w:val="20"/>
        </w:rPr>
        <w:t xml:space="preserve">. </w:t>
      </w:r>
    </w:p>
    <w:p w14:paraId="5318F1E6" w14:textId="77777777" w:rsidR="00C5155F" w:rsidRPr="005A4DF1" w:rsidRDefault="00C5155F" w:rsidP="00454C7F">
      <w:pPr>
        <w:pStyle w:val="ListParagraph"/>
        <w:widowControl w:val="0"/>
        <w:autoSpaceDE w:val="0"/>
        <w:autoSpaceDN w:val="0"/>
        <w:adjustRightInd w:val="0"/>
        <w:ind w:left="0"/>
        <w:jc w:val="both"/>
        <w:rPr>
          <w:rFonts w:ascii="Verdana" w:hAnsi="Verdana" w:cs="Times New Roman"/>
          <w:sz w:val="20"/>
          <w:szCs w:val="20"/>
        </w:rPr>
      </w:pPr>
    </w:p>
    <w:p w14:paraId="713B2C3B" w14:textId="13B6E34B" w:rsidR="008249C0" w:rsidRPr="005A4DF1" w:rsidRDefault="00B7366A" w:rsidP="007B4713">
      <w:pPr>
        <w:pStyle w:val="ListParagraph"/>
        <w:widowControl w:val="0"/>
        <w:autoSpaceDE w:val="0"/>
        <w:autoSpaceDN w:val="0"/>
        <w:adjustRightInd w:val="0"/>
        <w:ind w:left="0"/>
        <w:jc w:val="both"/>
        <w:rPr>
          <w:rFonts w:ascii="Verdana" w:hAnsi="Verdana" w:cs="Times New Roman"/>
          <w:b/>
          <w:sz w:val="20"/>
          <w:szCs w:val="20"/>
        </w:rPr>
      </w:pPr>
      <w:r>
        <w:rPr>
          <w:rFonts w:ascii="Verdana" w:hAnsi="Verdana" w:cs="Times New Roman"/>
          <w:sz w:val="20"/>
          <w:szCs w:val="20"/>
        </w:rPr>
        <w:t>125</w:t>
      </w:r>
      <w:r w:rsidR="007B4713">
        <w:rPr>
          <w:rFonts w:ascii="Verdana" w:hAnsi="Verdana" w:cs="Times New Roman"/>
          <w:sz w:val="20"/>
          <w:szCs w:val="20"/>
        </w:rPr>
        <w:t xml:space="preserve">. </w:t>
      </w:r>
      <w:r w:rsidR="007B4713">
        <w:rPr>
          <w:rFonts w:ascii="Verdana" w:hAnsi="Verdana" w:cs="Times New Roman"/>
          <w:sz w:val="20"/>
          <w:szCs w:val="20"/>
        </w:rPr>
        <w:tab/>
      </w:r>
      <w:r w:rsidR="005A3196" w:rsidRPr="005A4DF1">
        <w:rPr>
          <w:rFonts w:ascii="Verdana" w:hAnsi="Verdana" w:cs="Times New Roman"/>
          <w:sz w:val="20"/>
          <w:szCs w:val="20"/>
        </w:rPr>
        <w:t xml:space="preserve">Respecto al </w:t>
      </w:r>
      <w:r w:rsidR="005A3196" w:rsidRPr="005A4DF1">
        <w:rPr>
          <w:rFonts w:ascii="Verdana" w:hAnsi="Verdana" w:cs="Times New Roman"/>
          <w:i/>
          <w:sz w:val="20"/>
          <w:szCs w:val="20"/>
        </w:rPr>
        <w:t>derecho a la vivienda</w:t>
      </w:r>
      <w:r w:rsidR="005A3196" w:rsidRPr="005A4DF1">
        <w:rPr>
          <w:rFonts w:ascii="Verdana" w:hAnsi="Verdana" w:cs="Times New Roman"/>
          <w:sz w:val="20"/>
          <w:szCs w:val="20"/>
        </w:rPr>
        <w:t xml:space="preserve"> </w:t>
      </w:r>
      <w:r w:rsidR="005A3196" w:rsidRPr="005A4DF1">
        <w:rPr>
          <w:rFonts w:ascii="Verdana" w:hAnsi="Verdana" w:cs="Times New Roman"/>
          <w:i/>
          <w:sz w:val="20"/>
          <w:szCs w:val="20"/>
        </w:rPr>
        <w:t>y la labor de</w:t>
      </w:r>
      <w:r w:rsidR="001E1477" w:rsidRPr="005A4DF1">
        <w:rPr>
          <w:rFonts w:ascii="Verdana" w:hAnsi="Verdana" w:cs="Times New Roman"/>
          <w:i/>
          <w:sz w:val="20"/>
          <w:szCs w:val="20"/>
        </w:rPr>
        <w:t xml:space="preserve"> </w:t>
      </w:r>
      <w:r w:rsidR="008249C0" w:rsidRPr="005A4DF1">
        <w:rPr>
          <w:rFonts w:ascii="Verdana" w:hAnsi="Verdana" w:cs="Times New Roman"/>
          <w:i/>
          <w:sz w:val="20"/>
          <w:szCs w:val="20"/>
        </w:rPr>
        <w:t xml:space="preserve">las </w:t>
      </w:r>
      <w:r w:rsidR="001E1477" w:rsidRPr="005A4DF1">
        <w:rPr>
          <w:rFonts w:ascii="Verdana" w:hAnsi="Verdana" w:cs="Times New Roman"/>
          <w:i/>
          <w:sz w:val="20"/>
          <w:szCs w:val="20"/>
        </w:rPr>
        <w:t>defensoras de derechos humanos</w:t>
      </w:r>
      <w:r w:rsidR="001E1477" w:rsidRPr="005A4DF1">
        <w:rPr>
          <w:rFonts w:ascii="Verdana" w:hAnsi="Verdana" w:cs="Times New Roman"/>
          <w:sz w:val="20"/>
          <w:szCs w:val="20"/>
        </w:rPr>
        <w:t xml:space="preserve">, </w:t>
      </w:r>
      <w:r w:rsidR="00F86445">
        <w:rPr>
          <w:rFonts w:ascii="Verdana" w:hAnsi="Verdana" w:cs="Times New Roman"/>
          <w:i/>
          <w:sz w:val="20"/>
          <w:szCs w:val="20"/>
        </w:rPr>
        <w:t>y su ví</w:t>
      </w:r>
      <w:r w:rsidR="005A3196" w:rsidRPr="005A4DF1">
        <w:rPr>
          <w:rFonts w:ascii="Verdana" w:hAnsi="Verdana" w:cs="Times New Roman"/>
          <w:i/>
          <w:sz w:val="20"/>
          <w:szCs w:val="20"/>
        </w:rPr>
        <w:t>nculo con el desplazamiento forzado</w:t>
      </w:r>
      <w:r w:rsidR="005A3196" w:rsidRPr="005A4DF1">
        <w:rPr>
          <w:rFonts w:ascii="Verdana" w:hAnsi="Verdana" w:cs="Times New Roman"/>
          <w:sz w:val="20"/>
          <w:szCs w:val="20"/>
        </w:rPr>
        <w:t>,</w:t>
      </w:r>
      <w:r w:rsidR="00537FB5" w:rsidRPr="005A4DF1">
        <w:rPr>
          <w:rFonts w:ascii="Verdana" w:hAnsi="Verdana" w:cs="Times New Roman"/>
          <w:sz w:val="20"/>
          <w:szCs w:val="20"/>
        </w:rPr>
        <w:t xml:space="preserve"> la Relatora Especial sobre la s</w:t>
      </w:r>
      <w:r w:rsidR="005A3196" w:rsidRPr="005A4DF1">
        <w:rPr>
          <w:rFonts w:ascii="Verdana" w:hAnsi="Verdana" w:cs="Times New Roman"/>
          <w:sz w:val="20"/>
          <w:szCs w:val="20"/>
        </w:rPr>
        <w:t>ituación de las y los defensores de derechos humanos ha expresado que las defensoras de derechos humanos y quienes se dedican a los derechos de las mujer o las cuestiones de género, habida cuenta de la escasez de recursos estatales para protegerlas, tienen que adoptar a menudo medidas para protegerse. En este sentido, se utilizan redes de apoyo, como la familia, la comunidad y otros defensores para abandonar sus casas o llevar a sus hijos a un lugar seguro temporalmente en caso necesario</w:t>
      </w:r>
      <w:r w:rsidR="005A3196" w:rsidRPr="005A4DF1">
        <w:rPr>
          <w:rStyle w:val="FootnoteReference"/>
          <w:rFonts w:ascii="Verdana" w:hAnsi="Verdana" w:cs="Times New Roman"/>
          <w:sz w:val="20"/>
          <w:szCs w:val="20"/>
        </w:rPr>
        <w:footnoteReference w:id="142"/>
      </w:r>
      <w:r w:rsidR="00146629" w:rsidRPr="005A4DF1">
        <w:rPr>
          <w:rFonts w:ascii="Verdana" w:hAnsi="Verdana" w:cs="Times New Roman"/>
          <w:sz w:val="20"/>
          <w:szCs w:val="20"/>
        </w:rPr>
        <w:t xml:space="preserve">. </w:t>
      </w:r>
      <w:r w:rsidR="005F2697" w:rsidRPr="005A4DF1">
        <w:rPr>
          <w:rFonts w:ascii="Verdana" w:hAnsi="Verdana" w:cs="Times New Roman"/>
          <w:sz w:val="20"/>
          <w:szCs w:val="20"/>
        </w:rPr>
        <w:t>C</w:t>
      </w:r>
      <w:r w:rsidR="0064215C" w:rsidRPr="005A4DF1">
        <w:rPr>
          <w:rFonts w:ascii="Verdana" w:hAnsi="Verdana" w:cs="Times New Roman"/>
          <w:sz w:val="20"/>
          <w:szCs w:val="20"/>
        </w:rPr>
        <w:t xml:space="preserve">omo lo señalara </w:t>
      </w:r>
      <w:r w:rsidR="00A87CAA" w:rsidRPr="005A4DF1">
        <w:rPr>
          <w:rFonts w:ascii="Verdana" w:hAnsi="Verdana" w:cs="Times New Roman"/>
          <w:sz w:val="20"/>
          <w:szCs w:val="20"/>
        </w:rPr>
        <w:t xml:space="preserve">la </w:t>
      </w:r>
      <w:r w:rsidR="0064215C" w:rsidRPr="005A4DF1">
        <w:rPr>
          <w:rFonts w:ascii="Verdana" w:hAnsi="Verdana"/>
          <w:sz w:val="20"/>
          <w:szCs w:val="20"/>
        </w:rPr>
        <w:t xml:space="preserve">Relatora Especial sobre la situación de </w:t>
      </w:r>
      <w:r w:rsidR="001E1477" w:rsidRPr="005A4DF1">
        <w:rPr>
          <w:rFonts w:ascii="Verdana" w:hAnsi="Verdana"/>
          <w:sz w:val="20"/>
          <w:szCs w:val="20"/>
        </w:rPr>
        <w:t xml:space="preserve">las defensoras y </w:t>
      </w:r>
      <w:r w:rsidR="0064215C" w:rsidRPr="005A4DF1">
        <w:rPr>
          <w:rFonts w:ascii="Verdana" w:hAnsi="Verdana"/>
          <w:sz w:val="20"/>
          <w:szCs w:val="20"/>
        </w:rPr>
        <w:t>los defensores de los derechos humanos</w:t>
      </w:r>
      <w:r w:rsidR="008249C0" w:rsidRPr="005A4DF1">
        <w:rPr>
          <w:rFonts w:ascii="Verdana" w:hAnsi="Verdana"/>
          <w:sz w:val="20"/>
          <w:szCs w:val="20"/>
        </w:rPr>
        <w:t>:</w:t>
      </w:r>
    </w:p>
    <w:p w14:paraId="110CD05B" w14:textId="061CC3FB" w:rsidR="008249C0" w:rsidRPr="003F2593" w:rsidRDefault="0064215C" w:rsidP="00454C7F">
      <w:pPr>
        <w:pStyle w:val="ListParagraph"/>
        <w:widowControl w:val="0"/>
        <w:autoSpaceDE w:val="0"/>
        <w:autoSpaceDN w:val="0"/>
        <w:adjustRightInd w:val="0"/>
        <w:ind w:left="0"/>
        <w:jc w:val="both"/>
        <w:rPr>
          <w:rFonts w:ascii="Verdana" w:hAnsi="Verdana" w:cs="Times New Roman"/>
          <w:b/>
          <w:sz w:val="16"/>
          <w:szCs w:val="16"/>
        </w:rPr>
      </w:pPr>
      <w:r w:rsidRPr="003F2593">
        <w:rPr>
          <w:rFonts w:ascii="Verdana" w:hAnsi="Verdana" w:cs="Times New Roman"/>
          <w:sz w:val="16"/>
          <w:szCs w:val="16"/>
        </w:rPr>
        <w:t xml:space="preserve"> </w:t>
      </w:r>
    </w:p>
    <w:p w14:paraId="4BDD74F8" w14:textId="0638F40B" w:rsidR="0064215C" w:rsidRPr="003F2593" w:rsidRDefault="0064215C" w:rsidP="00DB01B1">
      <w:pPr>
        <w:pStyle w:val="ListParagraph"/>
        <w:widowControl w:val="0"/>
        <w:autoSpaceDE w:val="0"/>
        <w:autoSpaceDN w:val="0"/>
        <w:adjustRightInd w:val="0"/>
        <w:ind w:left="709" w:right="738"/>
        <w:jc w:val="both"/>
        <w:rPr>
          <w:rFonts w:ascii="Verdana" w:hAnsi="Verdana" w:cs="Times New Roman"/>
          <w:b/>
          <w:sz w:val="16"/>
          <w:szCs w:val="16"/>
        </w:rPr>
      </w:pPr>
      <w:r w:rsidRPr="003F2593">
        <w:rPr>
          <w:rFonts w:ascii="Verdana" w:hAnsi="Verdana" w:cs="Times"/>
          <w:sz w:val="16"/>
          <w:szCs w:val="16"/>
        </w:rPr>
        <w:t>[</w:t>
      </w:r>
      <w:proofErr w:type="gramStart"/>
      <w:r w:rsidRPr="003F2593">
        <w:rPr>
          <w:rFonts w:ascii="Verdana" w:hAnsi="Verdana" w:cs="Times"/>
          <w:sz w:val="16"/>
          <w:szCs w:val="16"/>
        </w:rPr>
        <w:t>s]</w:t>
      </w:r>
      <w:proofErr w:type="spellStart"/>
      <w:proofErr w:type="gramEnd"/>
      <w:r w:rsidRPr="003F2593">
        <w:rPr>
          <w:rFonts w:ascii="Verdana" w:hAnsi="Verdana" w:cs="Times"/>
          <w:sz w:val="16"/>
          <w:szCs w:val="16"/>
        </w:rPr>
        <w:t>egún</w:t>
      </w:r>
      <w:proofErr w:type="spellEnd"/>
      <w:r w:rsidRPr="003F2593">
        <w:rPr>
          <w:rFonts w:ascii="Verdana" w:hAnsi="Verdana" w:cs="Times"/>
          <w:sz w:val="16"/>
          <w:szCs w:val="16"/>
        </w:rPr>
        <w:t xml:space="preserve"> la información recibida, la Corte Constitucional de Colombia ha señalado que las defensoras corren riesgos extraordinarios por su condición de mujeres y su participación activa en movimientos comunitarios y sociales. A este respecto, la Corte Constitucional ha ordenado que se proteja adecuadamente a las mujeres que dirigen las comunidades de desplazados internos y ha destacado los riesgos relacionados con el género que corren las defensoras en el contexto del conflicto</w:t>
      </w:r>
      <w:r w:rsidR="00430BB3" w:rsidRPr="003F2593">
        <w:rPr>
          <w:rStyle w:val="FootnoteReference"/>
          <w:rFonts w:ascii="Verdana" w:hAnsi="Verdana" w:cs="Times"/>
          <w:sz w:val="16"/>
          <w:szCs w:val="16"/>
        </w:rPr>
        <w:footnoteReference w:id="143"/>
      </w:r>
      <w:r w:rsidRPr="003F2593">
        <w:rPr>
          <w:rFonts w:ascii="Verdana" w:hAnsi="Verdana" w:cs="Times"/>
          <w:sz w:val="16"/>
          <w:szCs w:val="16"/>
        </w:rPr>
        <w:t xml:space="preserve">. </w:t>
      </w:r>
    </w:p>
    <w:p w14:paraId="0BB4F05B" w14:textId="77777777" w:rsidR="007C3C07" w:rsidRPr="005A4DF1" w:rsidRDefault="007C3C07" w:rsidP="00454C7F">
      <w:pPr>
        <w:widowControl w:val="0"/>
        <w:autoSpaceDE w:val="0"/>
        <w:autoSpaceDN w:val="0"/>
        <w:adjustRightInd w:val="0"/>
        <w:jc w:val="both"/>
        <w:rPr>
          <w:rFonts w:ascii="Verdana" w:hAnsi="Verdana" w:cs="Arial"/>
          <w:sz w:val="20"/>
          <w:szCs w:val="20"/>
          <w:highlight w:val="yellow"/>
        </w:rPr>
      </w:pPr>
    </w:p>
    <w:p w14:paraId="17C99269" w14:textId="6BCCE72A" w:rsidR="00C52250" w:rsidRPr="000D1C69" w:rsidRDefault="00B7366A" w:rsidP="00D4680E">
      <w:pPr>
        <w:pStyle w:val="ListParagraph"/>
        <w:widowControl w:val="0"/>
        <w:autoSpaceDE w:val="0"/>
        <w:autoSpaceDN w:val="0"/>
        <w:adjustRightInd w:val="0"/>
        <w:ind w:left="0"/>
        <w:jc w:val="both"/>
        <w:rPr>
          <w:rFonts w:ascii="Verdana" w:hAnsi="Verdana" w:cs="Times New Roman"/>
          <w:b/>
          <w:sz w:val="20"/>
          <w:szCs w:val="20"/>
        </w:rPr>
      </w:pPr>
      <w:r>
        <w:rPr>
          <w:rFonts w:ascii="Verdana" w:hAnsi="Verdana" w:cs="Arial"/>
          <w:sz w:val="20"/>
          <w:szCs w:val="20"/>
        </w:rPr>
        <w:t>126</w:t>
      </w:r>
      <w:r w:rsidR="00D4680E">
        <w:rPr>
          <w:rFonts w:ascii="Verdana" w:hAnsi="Verdana" w:cs="Arial"/>
          <w:sz w:val="20"/>
          <w:szCs w:val="20"/>
        </w:rPr>
        <w:t xml:space="preserve">. </w:t>
      </w:r>
      <w:r w:rsidR="00D4680E">
        <w:rPr>
          <w:rFonts w:ascii="Verdana" w:hAnsi="Verdana" w:cs="Arial"/>
          <w:sz w:val="20"/>
          <w:szCs w:val="20"/>
        </w:rPr>
        <w:tab/>
      </w:r>
      <w:r w:rsidR="007C3C07" w:rsidRPr="000D1C69">
        <w:rPr>
          <w:rFonts w:ascii="Verdana" w:hAnsi="Verdana" w:cs="Arial"/>
          <w:sz w:val="20"/>
          <w:szCs w:val="20"/>
        </w:rPr>
        <w:t xml:space="preserve">En el </w:t>
      </w:r>
      <w:r w:rsidR="00A87CAA" w:rsidRPr="000D1C69">
        <w:rPr>
          <w:rFonts w:ascii="Verdana" w:hAnsi="Verdana" w:cs="Arial"/>
          <w:i/>
          <w:sz w:val="20"/>
          <w:szCs w:val="20"/>
        </w:rPr>
        <w:t>C</w:t>
      </w:r>
      <w:r w:rsidR="007C3C07" w:rsidRPr="000D1C69">
        <w:rPr>
          <w:rFonts w:ascii="Verdana" w:hAnsi="Verdana" w:cs="Arial"/>
          <w:i/>
          <w:sz w:val="20"/>
          <w:szCs w:val="20"/>
        </w:rPr>
        <w:t xml:space="preserve">aso </w:t>
      </w:r>
      <w:proofErr w:type="spellStart"/>
      <w:r w:rsidR="007C3C07" w:rsidRPr="000D1C69">
        <w:rPr>
          <w:rFonts w:ascii="Verdana" w:hAnsi="Verdana" w:cs="Arial"/>
          <w:i/>
          <w:sz w:val="20"/>
          <w:szCs w:val="20"/>
        </w:rPr>
        <w:t>Yarce</w:t>
      </w:r>
      <w:proofErr w:type="spellEnd"/>
      <w:r w:rsidR="007C3C07" w:rsidRPr="000D1C69">
        <w:rPr>
          <w:rFonts w:ascii="Verdana" w:hAnsi="Verdana" w:cs="Arial"/>
          <w:i/>
          <w:sz w:val="20"/>
          <w:szCs w:val="20"/>
        </w:rPr>
        <w:t xml:space="preserve"> y otras</w:t>
      </w:r>
      <w:r w:rsidR="005F2697" w:rsidRPr="000D1C69">
        <w:rPr>
          <w:rFonts w:ascii="Verdana" w:hAnsi="Verdana" w:cs="Arial"/>
          <w:i/>
          <w:sz w:val="20"/>
          <w:szCs w:val="20"/>
        </w:rPr>
        <w:t>,</w:t>
      </w:r>
      <w:r w:rsidR="007C3C07" w:rsidRPr="000D1C69">
        <w:rPr>
          <w:rFonts w:ascii="Verdana" w:hAnsi="Verdana" w:cs="Arial"/>
          <w:i/>
          <w:sz w:val="20"/>
          <w:szCs w:val="20"/>
        </w:rPr>
        <w:t xml:space="preserve"> </w:t>
      </w:r>
      <w:r w:rsidR="007C3C07" w:rsidRPr="000D1C69">
        <w:rPr>
          <w:rFonts w:ascii="Verdana" w:hAnsi="Verdana" w:cs="Arial"/>
          <w:sz w:val="20"/>
          <w:szCs w:val="20"/>
        </w:rPr>
        <w:t xml:space="preserve">la Corte IDH dio por probado </w:t>
      </w:r>
      <w:r w:rsidR="005F323C" w:rsidRPr="000D1C69">
        <w:rPr>
          <w:rFonts w:ascii="Verdana" w:hAnsi="Verdana" w:cs="Arial"/>
          <w:sz w:val="20"/>
          <w:szCs w:val="20"/>
        </w:rPr>
        <w:t xml:space="preserve">la situación de desplazamiento </w:t>
      </w:r>
      <w:proofErr w:type="spellStart"/>
      <w:r w:rsidR="005F323C" w:rsidRPr="000D1C69">
        <w:rPr>
          <w:rFonts w:ascii="Verdana" w:hAnsi="Verdana" w:cs="Arial"/>
          <w:sz w:val="20"/>
          <w:szCs w:val="20"/>
        </w:rPr>
        <w:t>intraurbano</w:t>
      </w:r>
      <w:proofErr w:type="spellEnd"/>
      <w:r w:rsidR="005F323C" w:rsidRPr="000D1C69">
        <w:rPr>
          <w:rFonts w:ascii="Verdana" w:hAnsi="Verdana" w:cs="Arial"/>
          <w:sz w:val="20"/>
          <w:szCs w:val="20"/>
        </w:rPr>
        <w:t xml:space="preserve"> en la Comuna 13 a raíz del desplazamiento de 65 familias</w:t>
      </w:r>
      <w:r w:rsidR="00A87CAA" w:rsidRPr="00DB01B1">
        <w:rPr>
          <w:rFonts w:ascii="Verdana" w:hAnsi="Verdana" w:cs="Arial"/>
          <w:sz w:val="20"/>
          <w:szCs w:val="20"/>
        </w:rPr>
        <w:t xml:space="preserve"> hacia otras partes de Medellín</w:t>
      </w:r>
      <w:r w:rsidR="00A87CAA" w:rsidRPr="000D1C69">
        <w:rPr>
          <w:rStyle w:val="FootnoteReference"/>
          <w:rFonts w:ascii="Verdana" w:hAnsi="Verdana" w:cs="Arial"/>
          <w:sz w:val="20"/>
          <w:szCs w:val="20"/>
        </w:rPr>
        <w:footnoteReference w:id="144"/>
      </w:r>
      <w:r w:rsidR="00A87CAA" w:rsidRPr="000D1C69">
        <w:rPr>
          <w:rFonts w:ascii="Verdana" w:hAnsi="Verdana" w:cs="Arial"/>
          <w:sz w:val="20"/>
          <w:szCs w:val="20"/>
        </w:rPr>
        <w:t>,</w:t>
      </w:r>
      <w:r w:rsidR="005F323C" w:rsidRPr="000D1C69">
        <w:rPr>
          <w:rFonts w:ascii="Verdana" w:hAnsi="Verdana" w:cs="Arial"/>
          <w:sz w:val="20"/>
          <w:szCs w:val="20"/>
        </w:rPr>
        <w:t xml:space="preserve"> 55 de las cuales tenían a una mujer como c</w:t>
      </w:r>
      <w:r w:rsidR="00A87CAA" w:rsidRPr="000D1C69">
        <w:rPr>
          <w:rFonts w:ascii="Verdana" w:hAnsi="Verdana" w:cs="Arial"/>
          <w:sz w:val="20"/>
          <w:szCs w:val="20"/>
        </w:rPr>
        <w:t>abeza de familia.</w:t>
      </w:r>
      <w:r w:rsidR="005F323C" w:rsidRPr="000D1C69">
        <w:rPr>
          <w:rFonts w:ascii="Verdana" w:hAnsi="Verdana" w:cs="Arial"/>
          <w:sz w:val="20"/>
          <w:szCs w:val="20"/>
        </w:rPr>
        <w:t xml:space="preserve"> </w:t>
      </w:r>
      <w:r w:rsidR="005F323C" w:rsidRPr="008757AC">
        <w:rPr>
          <w:rFonts w:ascii="Verdana" w:hAnsi="Verdana" w:cs="Arial"/>
          <w:sz w:val="20"/>
          <w:szCs w:val="20"/>
        </w:rPr>
        <w:t xml:space="preserve">Además, también se refirió que </w:t>
      </w:r>
      <w:r w:rsidR="005F323C" w:rsidRPr="00DB01B1">
        <w:rPr>
          <w:rFonts w:ascii="Verdana" w:hAnsi="Verdana" w:cs="NewBaskervilleStd-Roman"/>
          <w:sz w:val="20"/>
          <w:szCs w:val="20"/>
        </w:rPr>
        <w:t>si bien todos los habitantes de la Comuna 13 sufrieron los efectos del conflicto armado, estos fueron particularmente graves para las mujeres, quienes enfrentaron la persecución, destrucción de sus proyectos, así como el estigma y consecuencias del despojo.</w:t>
      </w:r>
      <w:r w:rsidR="005F323C" w:rsidRPr="000D1C69">
        <w:rPr>
          <w:rFonts w:ascii="Verdana" w:hAnsi="Verdana" w:cs="NewBaskervilleStd-Roman"/>
          <w:sz w:val="20"/>
          <w:szCs w:val="20"/>
        </w:rPr>
        <w:t xml:space="preserve"> </w:t>
      </w:r>
    </w:p>
    <w:p w14:paraId="1A090E8A" w14:textId="77777777" w:rsidR="00C52250" w:rsidRPr="00DB01B1" w:rsidRDefault="00C52250" w:rsidP="00454C7F">
      <w:pPr>
        <w:pStyle w:val="ListParagraph"/>
        <w:widowControl w:val="0"/>
        <w:autoSpaceDE w:val="0"/>
        <w:autoSpaceDN w:val="0"/>
        <w:adjustRightInd w:val="0"/>
        <w:ind w:left="0"/>
        <w:jc w:val="both"/>
        <w:rPr>
          <w:rFonts w:ascii="Verdana" w:hAnsi="Verdana" w:cs="Times New Roman"/>
          <w:b/>
          <w:sz w:val="20"/>
          <w:szCs w:val="20"/>
          <w:highlight w:val="cyan"/>
        </w:rPr>
      </w:pPr>
    </w:p>
    <w:p w14:paraId="16C56016" w14:textId="56D9A939" w:rsidR="007C3C07" w:rsidRPr="00DB01B1" w:rsidRDefault="00B7366A" w:rsidP="00D4680E">
      <w:pPr>
        <w:pStyle w:val="ListParagraph"/>
        <w:widowControl w:val="0"/>
        <w:autoSpaceDE w:val="0"/>
        <w:autoSpaceDN w:val="0"/>
        <w:adjustRightInd w:val="0"/>
        <w:ind w:left="0"/>
        <w:jc w:val="both"/>
        <w:rPr>
          <w:rFonts w:ascii="Verdana" w:hAnsi="Verdana" w:cs="Times New Roman"/>
          <w:b/>
          <w:sz w:val="20"/>
          <w:szCs w:val="20"/>
          <w:highlight w:val="yellow"/>
        </w:rPr>
      </w:pPr>
      <w:r w:rsidRPr="00591DCC">
        <w:rPr>
          <w:rFonts w:ascii="Verdana" w:hAnsi="Verdana" w:cs="NewBaskervilleStd-Roman"/>
          <w:sz w:val="20"/>
          <w:szCs w:val="20"/>
        </w:rPr>
        <w:t>127</w:t>
      </w:r>
      <w:r w:rsidR="00D4680E" w:rsidRPr="00591DCC">
        <w:rPr>
          <w:rFonts w:ascii="Verdana" w:hAnsi="Verdana" w:cs="NewBaskervilleStd-Roman"/>
          <w:sz w:val="20"/>
          <w:szCs w:val="20"/>
        </w:rPr>
        <w:t xml:space="preserve">. </w:t>
      </w:r>
      <w:r w:rsidR="00D4680E" w:rsidRPr="00591DCC">
        <w:rPr>
          <w:rFonts w:ascii="Verdana" w:hAnsi="Verdana" w:cs="NewBaskervilleStd-Roman"/>
          <w:sz w:val="20"/>
          <w:szCs w:val="20"/>
        </w:rPr>
        <w:tab/>
      </w:r>
      <w:r w:rsidR="005F323C" w:rsidRPr="00591DCC">
        <w:rPr>
          <w:rFonts w:ascii="Verdana" w:hAnsi="Verdana" w:cs="NewBaskervilleStd-Roman"/>
          <w:sz w:val="20"/>
          <w:szCs w:val="20"/>
        </w:rPr>
        <w:t xml:space="preserve">En este sentido, </w:t>
      </w:r>
      <w:r w:rsidR="005F323C" w:rsidRPr="00591DCC">
        <w:rPr>
          <w:rFonts w:ascii="Verdana" w:hAnsi="Verdana" w:cs="Arial"/>
          <w:sz w:val="20"/>
          <w:szCs w:val="20"/>
        </w:rPr>
        <w:t xml:space="preserve">en Medellín, y en la Comuna 13, las mujeres fueron afectadas especialmente por la violencia y por el fenómeno del </w:t>
      </w:r>
      <w:r w:rsidR="005F323C" w:rsidRPr="00591DCC">
        <w:rPr>
          <w:rFonts w:ascii="Verdana" w:hAnsi="Verdana" w:cs="Arial"/>
          <w:i/>
          <w:sz w:val="20"/>
          <w:szCs w:val="20"/>
        </w:rPr>
        <w:t xml:space="preserve">desplazamiento </w:t>
      </w:r>
      <w:proofErr w:type="spellStart"/>
      <w:r w:rsidR="005F323C" w:rsidRPr="00591DCC">
        <w:rPr>
          <w:rFonts w:ascii="Verdana" w:hAnsi="Verdana" w:cs="Arial"/>
          <w:i/>
          <w:sz w:val="20"/>
          <w:szCs w:val="20"/>
        </w:rPr>
        <w:t>intraurbano</w:t>
      </w:r>
      <w:proofErr w:type="spellEnd"/>
      <w:r w:rsidR="0066737E" w:rsidRPr="00591DCC">
        <w:rPr>
          <w:rStyle w:val="FootnoteReference"/>
          <w:rFonts w:ascii="Verdana" w:hAnsi="Verdana" w:cs="Arial"/>
          <w:sz w:val="20"/>
          <w:szCs w:val="20"/>
        </w:rPr>
        <w:footnoteReference w:id="145"/>
      </w:r>
      <w:r w:rsidR="00A87CAA" w:rsidRPr="00591DCC">
        <w:rPr>
          <w:rFonts w:ascii="Verdana" w:hAnsi="Verdana" w:cs="Arial"/>
          <w:sz w:val="20"/>
          <w:szCs w:val="20"/>
        </w:rPr>
        <w:t xml:space="preserve">. </w:t>
      </w:r>
      <w:r w:rsidR="007C3C07" w:rsidRPr="00591DCC">
        <w:rPr>
          <w:rFonts w:ascii="Verdana" w:hAnsi="Verdana" w:cs="Arial"/>
          <w:sz w:val="20"/>
          <w:szCs w:val="20"/>
        </w:rPr>
        <w:t>Los</w:t>
      </w:r>
      <w:r w:rsidR="007C3C07" w:rsidRPr="00591DCC" w:rsidDel="0036032B">
        <w:rPr>
          <w:rFonts w:ascii="Verdana" w:hAnsi="Verdana" w:cs="Arial"/>
          <w:sz w:val="20"/>
          <w:szCs w:val="20"/>
        </w:rPr>
        <w:t xml:space="preserve"> líderes y representantes comunitarios </w:t>
      </w:r>
      <w:r w:rsidR="007C3C07" w:rsidRPr="00591DCC">
        <w:rPr>
          <w:rFonts w:ascii="Verdana" w:hAnsi="Verdana" w:cs="Arial"/>
          <w:sz w:val="20"/>
          <w:szCs w:val="20"/>
        </w:rPr>
        <w:t xml:space="preserve">de la Comuna 13 se hallaban en una situación de </w:t>
      </w:r>
      <w:r w:rsidR="007C3C07" w:rsidRPr="00591DCC" w:rsidDel="0036032B">
        <w:rPr>
          <w:rFonts w:ascii="Verdana" w:hAnsi="Verdana" w:cs="Arial"/>
          <w:sz w:val="20"/>
          <w:szCs w:val="20"/>
        </w:rPr>
        <w:t>riesg</w:t>
      </w:r>
      <w:r w:rsidR="007C3C07" w:rsidRPr="00591DCC">
        <w:rPr>
          <w:rFonts w:ascii="Verdana" w:hAnsi="Verdana" w:cs="Arial"/>
          <w:sz w:val="20"/>
          <w:szCs w:val="20"/>
        </w:rPr>
        <w:t>o</w:t>
      </w:r>
      <w:r w:rsidR="007C3C07" w:rsidRPr="00591DCC" w:rsidDel="0036032B">
        <w:rPr>
          <w:rFonts w:ascii="Verdana" w:hAnsi="Verdana" w:cs="Arial"/>
          <w:sz w:val="20"/>
          <w:szCs w:val="20"/>
        </w:rPr>
        <w:t xml:space="preserve"> </w:t>
      </w:r>
      <w:r w:rsidR="007C3C07" w:rsidRPr="00591DCC">
        <w:rPr>
          <w:rFonts w:ascii="Verdana" w:hAnsi="Verdana" w:cs="Arial"/>
          <w:sz w:val="20"/>
          <w:szCs w:val="20"/>
        </w:rPr>
        <w:t>cuando se negaban a someterse a</w:t>
      </w:r>
      <w:r w:rsidR="007C3C07" w:rsidRPr="00591DCC" w:rsidDel="0036032B">
        <w:rPr>
          <w:rFonts w:ascii="Verdana" w:hAnsi="Verdana" w:cs="Arial"/>
          <w:sz w:val="20"/>
          <w:szCs w:val="20"/>
        </w:rPr>
        <w:t xml:space="preserve"> un nuevo pode</w:t>
      </w:r>
      <w:r w:rsidR="007C3C07" w:rsidRPr="00591DCC">
        <w:rPr>
          <w:rFonts w:ascii="Verdana" w:hAnsi="Verdana" w:cs="Arial"/>
          <w:sz w:val="20"/>
          <w:szCs w:val="20"/>
        </w:rPr>
        <w:t>r barrial. Como consecuencia, se enfrentaban a diversas</w:t>
      </w:r>
      <w:r w:rsidR="007C3C07" w:rsidRPr="00591DCC" w:rsidDel="0036032B">
        <w:rPr>
          <w:rFonts w:ascii="Verdana" w:hAnsi="Verdana" w:cs="Arial"/>
          <w:sz w:val="20"/>
          <w:szCs w:val="20"/>
        </w:rPr>
        <w:t xml:space="preserve"> formas de amedrentamiento, </w:t>
      </w:r>
      <w:r w:rsidR="007C3C07" w:rsidRPr="00591DCC">
        <w:rPr>
          <w:rFonts w:ascii="Verdana" w:hAnsi="Verdana" w:cs="Arial"/>
          <w:sz w:val="20"/>
          <w:szCs w:val="20"/>
        </w:rPr>
        <w:t xml:space="preserve">entre las que </w:t>
      </w:r>
      <w:r w:rsidR="007C3C07" w:rsidRPr="00591DCC" w:rsidDel="0036032B">
        <w:rPr>
          <w:rFonts w:ascii="Verdana" w:hAnsi="Verdana" w:cs="Arial"/>
          <w:sz w:val="20"/>
          <w:szCs w:val="20"/>
        </w:rPr>
        <w:t>pueden nombrarse amenazas, muertes selectivas, destrucción de bienes, desplazamientos masivos, entre otros</w:t>
      </w:r>
      <w:r w:rsidR="0066737E" w:rsidRPr="00591DCC">
        <w:rPr>
          <w:rStyle w:val="FootnoteReference"/>
          <w:rFonts w:ascii="Verdana" w:hAnsi="Verdana" w:cs="Arial"/>
          <w:sz w:val="20"/>
          <w:szCs w:val="20"/>
        </w:rPr>
        <w:footnoteReference w:id="146"/>
      </w:r>
      <w:r w:rsidR="007C3C07" w:rsidRPr="00591DCC">
        <w:rPr>
          <w:rFonts w:ascii="Verdana" w:hAnsi="Verdana" w:cs="Arial"/>
          <w:sz w:val="20"/>
          <w:szCs w:val="20"/>
        </w:rPr>
        <w:t>.</w:t>
      </w:r>
      <w:r w:rsidR="008162B7" w:rsidRPr="00591DCC">
        <w:rPr>
          <w:rFonts w:ascii="Verdana" w:hAnsi="Verdana" w:cs="Arial"/>
          <w:sz w:val="20"/>
          <w:szCs w:val="20"/>
        </w:rPr>
        <w:t xml:space="preserve"> </w:t>
      </w:r>
      <w:r w:rsidR="005F323C" w:rsidRPr="00591DCC">
        <w:rPr>
          <w:rFonts w:ascii="Verdana" w:hAnsi="Verdana" w:cs="Arial"/>
          <w:sz w:val="20"/>
          <w:szCs w:val="20"/>
        </w:rPr>
        <w:t xml:space="preserve">Adicionalmente, la Corte IDH observó en la </w:t>
      </w:r>
      <w:r w:rsidR="005F323C" w:rsidRPr="00591DCC">
        <w:rPr>
          <w:rFonts w:ascii="Verdana" w:hAnsi="Verdana" w:cs="Arial"/>
          <w:sz w:val="20"/>
          <w:szCs w:val="20"/>
        </w:rPr>
        <w:lastRenderedPageBreak/>
        <w:t xml:space="preserve">Sentencia que </w:t>
      </w:r>
      <w:r w:rsidR="005F323C" w:rsidRPr="00591DCC">
        <w:rPr>
          <w:rFonts w:ascii="Verdana" w:hAnsi="Verdana"/>
          <w:sz w:val="20"/>
          <w:szCs w:val="20"/>
        </w:rPr>
        <w:t>con base a los distintos informes de organismos de derechos humanos que datan de los años 2001, 2002, 2003 y 2004, al momento de los hechos del presente caso, existía un contexto de violencia en perjuicio de las mujeres defensoras de derechos humanos en Colombia. De dichos informes se desprende que concurrían diferentes formas de hostigamiento, amenazas y represalias en su contra</w:t>
      </w:r>
      <w:r w:rsidR="0066737E" w:rsidRPr="00591DCC">
        <w:rPr>
          <w:rStyle w:val="FootnoteReference"/>
          <w:rFonts w:ascii="Verdana" w:hAnsi="Verdana"/>
          <w:sz w:val="20"/>
          <w:szCs w:val="20"/>
        </w:rPr>
        <w:footnoteReference w:id="147"/>
      </w:r>
      <w:r w:rsidR="005F323C" w:rsidRPr="00591DCC">
        <w:rPr>
          <w:rFonts w:ascii="Verdana" w:hAnsi="Verdana"/>
          <w:sz w:val="20"/>
          <w:szCs w:val="20"/>
        </w:rPr>
        <w:t xml:space="preserve">. </w:t>
      </w:r>
    </w:p>
    <w:p w14:paraId="0ADFB667" w14:textId="77777777" w:rsidR="007C3C07" w:rsidRPr="009A3DA1" w:rsidRDefault="007C3C07" w:rsidP="00454C7F">
      <w:pPr>
        <w:pStyle w:val="ListParagraph"/>
        <w:widowControl w:val="0"/>
        <w:autoSpaceDE w:val="0"/>
        <w:autoSpaceDN w:val="0"/>
        <w:adjustRightInd w:val="0"/>
        <w:ind w:left="0"/>
        <w:jc w:val="both"/>
        <w:rPr>
          <w:rFonts w:ascii="Verdana" w:hAnsi="Verdana" w:cs="Times New Roman"/>
          <w:b/>
          <w:sz w:val="20"/>
          <w:szCs w:val="20"/>
        </w:rPr>
      </w:pPr>
    </w:p>
    <w:p w14:paraId="374F085E" w14:textId="72AF0C63" w:rsidR="0064215C" w:rsidRPr="009A3DA1" w:rsidRDefault="00B7366A" w:rsidP="00D4680E">
      <w:pPr>
        <w:pStyle w:val="ListParagraph"/>
        <w:widowControl w:val="0"/>
        <w:autoSpaceDE w:val="0"/>
        <w:autoSpaceDN w:val="0"/>
        <w:adjustRightInd w:val="0"/>
        <w:ind w:left="0"/>
        <w:jc w:val="both"/>
        <w:rPr>
          <w:rFonts w:ascii="Verdana" w:hAnsi="Verdana" w:cs="Times New Roman"/>
          <w:b/>
          <w:sz w:val="20"/>
          <w:szCs w:val="20"/>
        </w:rPr>
      </w:pPr>
      <w:r w:rsidRPr="00DB01B1">
        <w:rPr>
          <w:rFonts w:ascii="Verdana" w:hAnsi="Verdana" w:cs="Times New Roman"/>
          <w:sz w:val="20"/>
          <w:szCs w:val="20"/>
        </w:rPr>
        <w:t>128</w:t>
      </w:r>
      <w:r w:rsidR="00D4680E" w:rsidRPr="00DB01B1">
        <w:rPr>
          <w:rFonts w:ascii="Verdana" w:hAnsi="Verdana" w:cs="Times New Roman"/>
          <w:sz w:val="20"/>
          <w:szCs w:val="20"/>
        </w:rPr>
        <w:t xml:space="preserve">. </w:t>
      </w:r>
      <w:r w:rsidR="00D4680E" w:rsidRPr="00DB01B1">
        <w:rPr>
          <w:rFonts w:ascii="Verdana" w:hAnsi="Verdana" w:cs="Times New Roman"/>
          <w:sz w:val="20"/>
          <w:szCs w:val="20"/>
        </w:rPr>
        <w:tab/>
      </w:r>
      <w:r w:rsidR="005F2697" w:rsidRPr="00DB01B1">
        <w:rPr>
          <w:rFonts w:ascii="Verdana" w:hAnsi="Verdana" w:cs="Times New Roman"/>
          <w:sz w:val="20"/>
          <w:szCs w:val="20"/>
        </w:rPr>
        <w:t xml:space="preserve">En el caso particular de </w:t>
      </w:r>
      <w:r w:rsidR="007C3C07" w:rsidRPr="00DB01B1">
        <w:rPr>
          <w:rFonts w:ascii="Verdana" w:hAnsi="Verdana" w:cs="Times New Roman"/>
          <w:sz w:val="20"/>
          <w:szCs w:val="20"/>
        </w:rPr>
        <w:t xml:space="preserve">las señoras </w:t>
      </w:r>
      <w:r w:rsidR="007F3BCC">
        <w:rPr>
          <w:rFonts w:ascii="Verdana" w:hAnsi="Verdana"/>
          <w:sz w:val="20"/>
          <w:szCs w:val="20"/>
        </w:rPr>
        <w:t>Myri</w:t>
      </w:r>
      <w:r w:rsidR="007C3C07" w:rsidRPr="00DB01B1">
        <w:rPr>
          <w:rFonts w:ascii="Verdana" w:hAnsi="Verdana"/>
          <w:sz w:val="20"/>
          <w:szCs w:val="20"/>
        </w:rPr>
        <w:t>am Eugenia Rúa Figueroa y Luz Dary Ospina Bastida</w:t>
      </w:r>
      <w:r w:rsidR="007C3C07" w:rsidRPr="009A3DA1">
        <w:rPr>
          <w:rFonts w:ascii="Verdana" w:hAnsi="Verdana" w:cs="Times New Roman"/>
          <w:sz w:val="20"/>
          <w:szCs w:val="20"/>
        </w:rPr>
        <w:t xml:space="preserve">, la Corte IDH dio por probado que </w:t>
      </w:r>
      <w:r w:rsidR="005F323C" w:rsidRPr="009A3DA1">
        <w:rPr>
          <w:rFonts w:ascii="Verdana" w:hAnsi="Verdana" w:cs="Times New Roman"/>
          <w:sz w:val="20"/>
          <w:szCs w:val="20"/>
        </w:rPr>
        <w:t xml:space="preserve">eran mujeres </w:t>
      </w:r>
      <w:r w:rsidR="001E1477" w:rsidRPr="009A3DA1">
        <w:rPr>
          <w:rFonts w:ascii="Verdana" w:hAnsi="Verdana" w:cs="Times New Roman"/>
          <w:sz w:val="20"/>
          <w:szCs w:val="20"/>
        </w:rPr>
        <w:t xml:space="preserve">que </w:t>
      </w:r>
      <w:r w:rsidR="005F323C" w:rsidRPr="009A3DA1">
        <w:rPr>
          <w:rFonts w:ascii="Verdana" w:hAnsi="Verdana" w:cs="Times New Roman"/>
          <w:sz w:val="20"/>
          <w:szCs w:val="20"/>
        </w:rPr>
        <w:t xml:space="preserve">se desempeñaban como </w:t>
      </w:r>
      <w:r w:rsidR="007C3C07" w:rsidRPr="009A3DA1">
        <w:rPr>
          <w:rFonts w:ascii="Verdana" w:hAnsi="Verdana" w:cs="Times New Roman"/>
          <w:sz w:val="20"/>
          <w:szCs w:val="20"/>
        </w:rPr>
        <w:t>defensoras</w:t>
      </w:r>
      <w:r w:rsidR="005F323C" w:rsidRPr="009A3DA1">
        <w:rPr>
          <w:rFonts w:ascii="Verdana" w:hAnsi="Verdana" w:cs="Times New Roman"/>
          <w:sz w:val="20"/>
          <w:szCs w:val="20"/>
        </w:rPr>
        <w:t xml:space="preserve"> de de</w:t>
      </w:r>
      <w:r w:rsidR="00C52250" w:rsidRPr="009A3DA1">
        <w:rPr>
          <w:rFonts w:ascii="Verdana" w:hAnsi="Verdana" w:cs="Times New Roman"/>
          <w:sz w:val="20"/>
          <w:szCs w:val="20"/>
        </w:rPr>
        <w:t xml:space="preserve">rechos humanos en la Comuna 13 </w:t>
      </w:r>
      <w:r w:rsidR="005F323C" w:rsidRPr="009A3DA1">
        <w:rPr>
          <w:rFonts w:ascii="Verdana" w:hAnsi="Verdana" w:cs="Times New Roman"/>
          <w:sz w:val="20"/>
          <w:szCs w:val="20"/>
        </w:rPr>
        <w:t xml:space="preserve">y que tuvieron que desplazarse </w:t>
      </w:r>
      <w:r w:rsidR="004F27D6" w:rsidRPr="009A3DA1">
        <w:rPr>
          <w:rFonts w:ascii="Verdana" w:hAnsi="Verdana" w:cs="Times New Roman"/>
          <w:sz w:val="20"/>
          <w:szCs w:val="20"/>
        </w:rPr>
        <w:t>int</w:t>
      </w:r>
      <w:r w:rsidR="00F106A0">
        <w:rPr>
          <w:rFonts w:ascii="Verdana" w:hAnsi="Verdana" w:cs="Times New Roman"/>
          <w:sz w:val="20"/>
          <w:szCs w:val="20"/>
        </w:rPr>
        <w:t>ernamente</w:t>
      </w:r>
      <w:r w:rsidR="005F323C" w:rsidRPr="009A3DA1">
        <w:rPr>
          <w:rFonts w:ascii="Verdana" w:hAnsi="Verdana" w:cs="Times New Roman"/>
          <w:sz w:val="20"/>
          <w:szCs w:val="20"/>
        </w:rPr>
        <w:t xml:space="preserve"> por efect</w:t>
      </w:r>
      <w:r w:rsidR="005F2697" w:rsidRPr="009A3DA1">
        <w:rPr>
          <w:rFonts w:ascii="Verdana" w:hAnsi="Verdana" w:cs="Times New Roman"/>
          <w:sz w:val="20"/>
          <w:szCs w:val="20"/>
        </w:rPr>
        <w:t>os de la violencia que se había</w:t>
      </w:r>
      <w:r w:rsidR="005F323C" w:rsidRPr="009A3DA1">
        <w:rPr>
          <w:rFonts w:ascii="Verdana" w:hAnsi="Verdana" w:cs="Times New Roman"/>
          <w:sz w:val="20"/>
          <w:szCs w:val="20"/>
        </w:rPr>
        <w:t xml:space="preserve"> ejercido contra ellas en el marco del desempeño de sus actividades. </w:t>
      </w:r>
      <w:r w:rsidR="007C3C07" w:rsidRPr="009A3DA1">
        <w:rPr>
          <w:rFonts w:ascii="Verdana" w:hAnsi="Verdana" w:cs="Times New Roman"/>
          <w:sz w:val="20"/>
          <w:szCs w:val="20"/>
        </w:rPr>
        <w:t>Adicionalmente, en el caso de ambas víctimas sus viviendas fueron destruidas</w:t>
      </w:r>
      <w:r w:rsidR="0066737E" w:rsidRPr="009A3DA1">
        <w:rPr>
          <w:rStyle w:val="FootnoteReference"/>
          <w:rFonts w:ascii="Verdana" w:hAnsi="Verdana" w:cs="Times New Roman"/>
          <w:sz w:val="20"/>
          <w:szCs w:val="20"/>
        </w:rPr>
        <w:footnoteReference w:id="148"/>
      </w:r>
      <w:r w:rsidR="0066737E" w:rsidRPr="009A3DA1">
        <w:rPr>
          <w:rFonts w:ascii="Verdana" w:hAnsi="Verdana" w:cs="Times New Roman"/>
          <w:sz w:val="20"/>
          <w:szCs w:val="20"/>
        </w:rPr>
        <w:t xml:space="preserve">. </w:t>
      </w:r>
    </w:p>
    <w:p w14:paraId="3222CE4E" w14:textId="77777777" w:rsidR="0064215C" w:rsidRPr="00DB01B1" w:rsidRDefault="0064215C" w:rsidP="00454C7F">
      <w:pPr>
        <w:widowControl w:val="0"/>
        <w:autoSpaceDE w:val="0"/>
        <w:autoSpaceDN w:val="0"/>
        <w:adjustRightInd w:val="0"/>
        <w:jc w:val="both"/>
        <w:rPr>
          <w:rFonts w:ascii="Verdana" w:hAnsi="Verdana" w:cs="Times New Roman"/>
          <w:b/>
          <w:sz w:val="20"/>
          <w:szCs w:val="20"/>
          <w:highlight w:val="cyan"/>
        </w:rPr>
      </w:pPr>
    </w:p>
    <w:p w14:paraId="7A251F42" w14:textId="3CED57B6" w:rsidR="0064215C" w:rsidRPr="009A3DA1" w:rsidRDefault="00B7366A" w:rsidP="00D4680E">
      <w:pPr>
        <w:pStyle w:val="ListParagraph"/>
        <w:widowControl w:val="0"/>
        <w:autoSpaceDE w:val="0"/>
        <w:autoSpaceDN w:val="0"/>
        <w:adjustRightInd w:val="0"/>
        <w:ind w:left="0"/>
        <w:jc w:val="both"/>
        <w:rPr>
          <w:rFonts w:ascii="Verdana" w:hAnsi="Verdana" w:cs="Times New Roman"/>
          <w:sz w:val="20"/>
          <w:szCs w:val="20"/>
        </w:rPr>
      </w:pPr>
      <w:r w:rsidRPr="009A3DA1">
        <w:rPr>
          <w:rFonts w:ascii="Verdana" w:hAnsi="Verdana" w:cs="Times New Roman"/>
          <w:sz w:val="20"/>
          <w:szCs w:val="20"/>
        </w:rPr>
        <w:t>129</w:t>
      </w:r>
      <w:r w:rsidR="00D4680E" w:rsidRPr="009A3DA1">
        <w:rPr>
          <w:rFonts w:ascii="Verdana" w:hAnsi="Verdana" w:cs="Times New Roman"/>
          <w:sz w:val="20"/>
          <w:szCs w:val="20"/>
        </w:rPr>
        <w:t xml:space="preserve">. </w:t>
      </w:r>
      <w:r w:rsidR="00D4680E" w:rsidRPr="009A3DA1">
        <w:rPr>
          <w:rFonts w:ascii="Verdana" w:hAnsi="Verdana" w:cs="Times New Roman"/>
          <w:sz w:val="20"/>
          <w:szCs w:val="20"/>
        </w:rPr>
        <w:tab/>
      </w:r>
      <w:r w:rsidR="0064215C" w:rsidRPr="009A3DA1">
        <w:rPr>
          <w:rFonts w:ascii="Verdana" w:hAnsi="Verdana" w:cs="Times New Roman"/>
          <w:sz w:val="20"/>
          <w:szCs w:val="20"/>
        </w:rPr>
        <w:t>Si bien en el presente caso se declaró vulnerado el artículo 21 de la Convención Americana (Derecho a la Propiedad Privada), los conceptos de propiedad y vivienda en el marco del conflicto armado y del desplazamiento forzado tienen connotaciones distintas</w:t>
      </w:r>
      <w:r w:rsidR="00755D07" w:rsidRPr="009A3DA1">
        <w:rPr>
          <w:rStyle w:val="FootnoteReference"/>
          <w:rFonts w:ascii="Verdana" w:hAnsi="Verdana" w:cs="Times New Roman"/>
          <w:sz w:val="20"/>
          <w:szCs w:val="20"/>
        </w:rPr>
        <w:footnoteReference w:id="149"/>
      </w:r>
      <w:r w:rsidR="00A87CAA" w:rsidRPr="009A3DA1">
        <w:rPr>
          <w:rFonts w:ascii="Verdana" w:hAnsi="Verdana" w:cs="Times New Roman"/>
          <w:sz w:val="20"/>
          <w:szCs w:val="20"/>
        </w:rPr>
        <w:t>. En ese sentido, en la S</w:t>
      </w:r>
      <w:r w:rsidR="0064215C" w:rsidRPr="009A3DA1">
        <w:rPr>
          <w:rFonts w:ascii="Verdana" w:hAnsi="Verdana" w:cs="Times New Roman"/>
          <w:sz w:val="20"/>
          <w:szCs w:val="20"/>
        </w:rPr>
        <w:t xml:space="preserve">entencia la Corte IDH concluyó que: </w:t>
      </w:r>
    </w:p>
    <w:p w14:paraId="1B25D383" w14:textId="77777777" w:rsidR="0064215C" w:rsidRPr="00DB01B1" w:rsidRDefault="0064215C" w:rsidP="00454C7F">
      <w:pPr>
        <w:widowControl w:val="0"/>
        <w:autoSpaceDE w:val="0"/>
        <w:autoSpaceDN w:val="0"/>
        <w:adjustRightInd w:val="0"/>
        <w:jc w:val="both"/>
        <w:rPr>
          <w:rFonts w:ascii="Verdana" w:hAnsi="Verdana" w:cs="Times New Roman"/>
          <w:sz w:val="20"/>
          <w:szCs w:val="20"/>
          <w:highlight w:val="cyan"/>
        </w:rPr>
      </w:pPr>
    </w:p>
    <w:p w14:paraId="25983F9B" w14:textId="19FC1C8E" w:rsidR="0064215C" w:rsidRPr="009A3DA1" w:rsidRDefault="0069441C" w:rsidP="0029579D">
      <w:pPr>
        <w:pStyle w:val="Estilo5"/>
        <w:tabs>
          <w:tab w:val="clear" w:pos="0"/>
        </w:tabs>
        <w:spacing w:after="0" w:line="240" w:lineRule="auto"/>
        <w:ind w:left="708" w:right="616"/>
        <w:rPr>
          <w:spacing w:val="0"/>
          <w:sz w:val="16"/>
          <w:szCs w:val="16"/>
          <w:lang w:val="es-ES_tradnl"/>
        </w:rPr>
      </w:pPr>
      <w:r w:rsidRPr="009A3DA1">
        <w:rPr>
          <w:spacing w:val="0"/>
          <w:sz w:val="16"/>
          <w:szCs w:val="16"/>
          <w:u w:val="single"/>
          <w:lang w:val="es-ES_tradnl"/>
        </w:rPr>
        <w:t>25</w:t>
      </w:r>
      <w:r w:rsidR="00FB0B0D">
        <w:rPr>
          <w:spacing w:val="0"/>
          <w:sz w:val="16"/>
          <w:szCs w:val="16"/>
          <w:u w:val="single"/>
          <w:lang w:val="es-ES_tradnl"/>
        </w:rPr>
        <w:t>6</w:t>
      </w:r>
      <w:r w:rsidR="0064215C" w:rsidRPr="009A3DA1">
        <w:rPr>
          <w:spacing w:val="0"/>
          <w:sz w:val="16"/>
          <w:szCs w:val="16"/>
          <w:u w:val="single"/>
          <w:lang w:val="es-ES_tradnl"/>
        </w:rPr>
        <w:t>. En el presente caso, la Corte determinó que la destrucción de las viviendas de las señoras Myriam Rúa Figueroa y Luz Dary Ospina Bastidas</w:t>
      </w:r>
      <w:r w:rsidR="0064215C" w:rsidRPr="00DB01B1">
        <w:rPr>
          <w:spacing w:val="0"/>
          <w:sz w:val="16"/>
          <w:szCs w:val="16"/>
          <w:lang w:val="es-ES_tradnl"/>
        </w:rPr>
        <w:t xml:space="preserve">, así como la pérdida de los bienes que se encontraban en su interior, </w:t>
      </w:r>
      <w:r w:rsidR="0064215C" w:rsidRPr="009A3DA1">
        <w:rPr>
          <w:spacing w:val="0"/>
          <w:sz w:val="16"/>
          <w:szCs w:val="16"/>
          <w:u w:val="single"/>
          <w:lang w:val="es-ES_tradnl"/>
        </w:rPr>
        <w:t xml:space="preserve">ocurrieron después de que dichas señoras se habían desplazado y abandonado sus </w:t>
      </w:r>
      <w:proofErr w:type="gramStart"/>
      <w:r w:rsidR="0064215C" w:rsidRPr="009A3DA1">
        <w:rPr>
          <w:spacing w:val="0"/>
          <w:sz w:val="16"/>
          <w:szCs w:val="16"/>
          <w:u w:val="single"/>
          <w:lang w:val="es-ES_tradnl"/>
        </w:rPr>
        <w:t>viviendas</w:t>
      </w:r>
      <w:r w:rsidR="009A3DA1">
        <w:rPr>
          <w:spacing w:val="0"/>
          <w:sz w:val="16"/>
          <w:szCs w:val="16"/>
          <w:lang w:val="es-ES_tradnl"/>
        </w:rPr>
        <w:t>[</w:t>
      </w:r>
      <w:proofErr w:type="gramEnd"/>
      <w:r w:rsidR="009A3DA1">
        <w:rPr>
          <w:spacing w:val="0"/>
          <w:sz w:val="16"/>
          <w:szCs w:val="16"/>
          <w:lang w:val="es-ES_tradnl"/>
        </w:rPr>
        <w:t>,]</w:t>
      </w:r>
      <w:r w:rsidR="0064215C" w:rsidRPr="009A3DA1">
        <w:rPr>
          <w:spacing w:val="0"/>
          <w:sz w:val="16"/>
          <w:szCs w:val="16"/>
          <w:lang w:val="es-ES_tradnl"/>
        </w:rPr>
        <w:t xml:space="preserve"> cuestiones que tienen relación con la alegada violación del derecho a la propiedad privada […]</w:t>
      </w:r>
    </w:p>
    <w:p w14:paraId="5CCCEAEF" w14:textId="18FEA305" w:rsidR="0064215C" w:rsidRPr="00DB01B1" w:rsidRDefault="0064215C" w:rsidP="0029579D">
      <w:pPr>
        <w:pStyle w:val="Estilo5"/>
        <w:spacing w:after="0" w:line="240" w:lineRule="auto"/>
        <w:ind w:left="708" w:right="616"/>
        <w:rPr>
          <w:spacing w:val="0"/>
          <w:sz w:val="16"/>
          <w:szCs w:val="16"/>
          <w:lang w:val="es-ES_tradnl"/>
        </w:rPr>
      </w:pPr>
    </w:p>
    <w:p w14:paraId="79F553CE" w14:textId="0F7F12BD" w:rsidR="0064215C" w:rsidRPr="009A3DA1" w:rsidRDefault="0064215C" w:rsidP="0029579D">
      <w:pPr>
        <w:pStyle w:val="Estilo5"/>
        <w:spacing w:after="0" w:line="240" w:lineRule="auto"/>
        <w:ind w:left="708" w:right="616"/>
        <w:rPr>
          <w:spacing w:val="0"/>
          <w:sz w:val="16"/>
          <w:szCs w:val="16"/>
          <w:lang w:val="es-ES_tradnl"/>
        </w:rPr>
      </w:pPr>
      <w:r w:rsidRPr="009A3DA1">
        <w:rPr>
          <w:spacing w:val="0"/>
          <w:sz w:val="16"/>
          <w:szCs w:val="16"/>
          <w:lang w:val="es-ES_tradnl"/>
        </w:rPr>
        <w:t>[…]</w:t>
      </w:r>
    </w:p>
    <w:p w14:paraId="737777B7" w14:textId="77777777" w:rsidR="0064215C" w:rsidRPr="00DB01B1" w:rsidRDefault="0064215C" w:rsidP="0029579D">
      <w:pPr>
        <w:pStyle w:val="ListParagraph"/>
        <w:ind w:left="708" w:right="616"/>
        <w:jc w:val="both"/>
        <w:rPr>
          <w:rFonts w:ascii="Verdana" w:hAnsi="Verdana"/>
          <w:sz w:val="16"/>
          <w:szCs w:val="16"/>
          <w:highlight w:val="cyan"/>
        </w:rPr>
      </w:pPr>
    </w:p>
    <w:p w14:paraId="49389C71" w14:textId="77E03D2A" w:rsidR="0064215C" w:rsidRPr="00DB01B1" w:rsidRDefault="0064215C" w:rsidP="0029579D">
      <w:pPr>
        <w:pStyle w:val="ListParagraph"/>
        <w:ind w:left="708" w:right="616"/>
        <w:contextualSpacing w:val="0"/>
        <w:jc w:val="both"/>
        <w:rPr>
          <w:rFonts w:ascii="Verdana" w:hAnsi="Verdana"/>
          <w:sz w:val="16"/>
          <w:szCs w:val="16"/>
        </w:rPr>
      </w:pPr>
      <w:r w:rsidRPr="009A3DA1">
        <w:rPr>
          <w:rFonts w:ascii="Verdana" w:hAnsi="Verdana"/>
          <w:sz w:val="16"/>
          <w:szCs w:val="16"/>
        </w:rPr>
        <w:t>25</w:t>
      </w:r>
      <w:r w:rsidR="00FB0B0D">
        <w:rPr>
          <w:rFonts w:ascii="Verdana" w:hAnsi="Verdana"/>
          <w:sz w:val="16"/>
          <w:szCs w:val="16"/>
        </w:rPr>
        <w:t>8</w:t>
      </w:r>
      <w:r w:rsidRPr="009A3DA1">
        <w:rPr>
          <w:rFonts w:ascii="Verdana" w:hAnsi="Verdana"/>
          <w:sz w:val="16"/>
          <w:szCs w:val="16"/>
          <w:u w:val="single"/>
        </w:rPr>
        <w:t>. Al respecto, las señoras Rúa y Ospina cuando denunciaron su desplazamiento se refirieron por primera vez al abandono que hicieron de sus viviendas, y que las mismas fueron destruidas y saqueadas paulatinamente por terceros</w:t>
      </w:r>
      <w:r w:rsidRPr="00DB01B1">
        <w:rPr>
          <w:rFonts w:ascii="Verdana" w:hAnsi="Verdana"/>
          <w:sz w:val="16"/>
          <w:szCs w:val="16"/>
        </w:rPr>
        <w:t>. […]</w:t>
      </w:r>
    </w:p>
    <w:p w14:paraId="53A0CCDD" w14:textId="77777777" w:rsidR="0064215C" w:rsidRPr="00DB01B1" w:rsidRDefault="0064215C" w:rsidP="0029579D">
      <w:pPr>
        <w:pStyle w:val="ListParagraph"/>
        <w:ind w:left="708" w:right="616"/>
        <w:contextualSpacing w:val="0"/>
        <w:jc w:val="both"/>
        <w:rPr>
          <w:rFonts w:ascii="Verdana" w:hAnsi="Verdana"/>
          <w:sz w:val="16"/>
          <w:szCs w:val="16"/>
          <w:highlight w:val="cyan"/>
        </w:rPr>
      </w:pPr>
    </w:p>
    <w:p w14:paraId="7C6F274F" w14:textId="70975C55" w:rsidR="0069441C" w:rsidRPr="009A3DA1" w:rsidRDefault="0069441C" w:rsidP="0029579D">
      <w:pPr>
        <w:pStyle w:val="ListParagraph"/>
        <w:ind w:left="708" w:right="616"/>
        <w:contextualSpacing w:val="0"/>
        <w:jc w:val="both"/>
        <w:rPr>
          <w:rFonts w:ascii="Verdana" w:hAnsi="Verdana"/>
          <w:sz w:val="16"/>
          <w:szCs w:val="16"/>
        </w:rPr>
      </w:pPr>
      <w:r w:rsidRPr="009A3DA1">
        <w:rPr>
          <w:rFonts w:ascii="Verdana" w:hAnsi="Verdana"/>
          <w:sz w:val="16"/>
          <w:szCs w:val="16"/>
          <w:u w:val="single"/>
        </w:rPr>
        <w:t>2</w:t>
      </w:r>
      <w:r w:rsidR="00FB0B0D">
        <w:rPr>
          <w:rFonts w:ascii="Verdana" w:hAnsi="Verdana"/>
          <w:sz w:val="16"/>
          <w:szCs w:val="16"/>
          <w:u w:val="single"/>
        </w:rPr>
        <w:t>59</w:t>
      </w:r>
      <w:r w:rsidRPr="009A3DA1">
        <w:rPr>
          <w:rFonts w:ascii="Verdana" w:hAnsi="Verdana"/>
          <w:sz w:val="16"/>
          <w:szCs w:val="16"/>
          <w:u w:val="single"/>
        </w:rPr>
        <w:t>. Ahora bien, está probado que en el presente caso luego del abandono de las casas de habitación por las señ</w:t>
      </w:r>
      <w:r w:rsidRPr="00DB01B1">
        <w:rPr>
          <w:rFonts w:ascii="Verdana" w:hAnsi="Verdana"/>
          <w:sz w:val="16"/>
          <w:szCs w:val="16"/>
          <w:u w:val="single"/>
        </w:rPr>
        <w:t>oras Rúa y Ospina y sus familiares, las mismas progresivamente fueron desmantelas hasta quedar en ruinas, y saqueadas por parte de terceros</w:t>
      </w:r>
      <w:r w:rsidR="009A3DA1">
        <w:rPr>
          <w:rFonts w:ascii="Verdana" w:hAnsi="Verdana"/>
          <w:sz w:val="16"/>
          <w:szCs w:val="16"/>
          <w:u w:val="single"/>
        </w:rPr>
        <w:t xml:space="preserve"> […]</w:t>
      </w:r>
      <w:r w:rsidRPr="009A3DA1">
        <w:rPr>
          <w:rFonts w:ascii="Verdana" w:hAnsi="Verdana"/>
          <w:sz w:val="16"/>
          <w:szCs w:val="16"/>
          <w:u w:val="single"/>
        </w:rPr>
        <w:t>.</w:t>
      </w:r>
      <w:r w:rsidR="009A3DA1">
        <w:rPr>
          <w:rFonts w:ascii="Verdana" w:hAnsi="Verdana"/>
          <w:sz w:val="16"/>
          <w:szCs w:val="16"/>
          <w:u w:val="single"/>
        </w:rPr>
        <w:t xml:space="preserve"> </w:t>
      </w:r>
      <w:r w:rsidRPr="009A3DA1">
        <w:rPr>
          <w:rFonts w:ascii="Verdana" w:hAnsi="Verdana"/>
          <w:sz w:val="16"/>
          <w:szCs w:val="16"/>
        </w:rPr>
        <w:t xml:space="preserve"> Después del conocimiento de los hechos ocurridos a las señoras Rúa y Ospina a través de las denuncias que interpusi</w:t>
      </w:r>
      <w:r w:rsidRPr="00DB01B1">
        <w:rPr>
          <w:rFonts w:ascii="Verdana" w:hAnsi="Verdana"/>
          <w:sz w:val="16"/>
          <w:szCs w:val="16"/>
        </w:rPr>
        <w:t xml:space="preserve">eron el 8 de junio de 2002 y 18 de julio de 2003, respectivamente, </w:t>
      </w:r>
      <w:r w:rsidRPr="009A3DA1">
        <w:rPr>
          <w:rFonts w:ascii="Verdana" w:hAnsi="Verdana"/>
          <w:sz w:val="16"/>
          <w:szCs w:val="16"/>
          <w:u w:val="single"/>
        </w:rPr>
        <w:t>el Estado no adoptó medidas necesarias para proteger, de ser el caso, los bienes de las presuntas víctimas ni les facilitó mecanismos para la obtención de una vivienda adecuada</w:t>
      </w:r>
      <w:r w:rsidRPr="009A3DA1">
        <w:rPr>
          <w:rFonts w:ascii="Verdana" w:hAnsi="Verdana"/>
          <w:sz w:val="16"/>
          <w:szCs w:val="16"/>
        </w:rPr>
        <w:t xml:space="preserve">. Tampoco adoptó las medidas necesarias para garantizar a las presuntas víctimas un regreso seguro a la Comuna 13, en vulneración del deber de garantía del derecho de circulación y residencia. Todo ello generó una grave privación del uso y goce de los bienes de las presuntas víctimas. </w:t>
      </w:r>
    </w:p>
    <w:p w14:paraId="4F44063F" w14:textId="77777777" w:rsidR="0069441C" w:rsidRDefault="0069441C" w:rsidP="0029579D">
      <w:pPr>
        <w:pStyle w:val="ListParagraph"/>
        <w:ind w:left="708" w:right="616"/>
        <w:contextualSpacing w:val="0"/>
        <w:jc w:val="both"/>
        <w:rPr>
          <w:rFonts w:ascii="Verdana" w:hAnsi="Verdana"/>
          <w:sz w:val="16"/>
          <w:szCs w:val="16"/>
          <w:highlight w:val="cyan"/>
        </w:rPr>
      </w:pPr>
    </w:p>
    <w:p w14:paraId="1A43A01D" w14:textId="0B1021A1" w:rsidR="006E4CDF" w:rsidRPr="006E4CDF" w:rsidRDefault="006E4CDF" w:rsidP="0029579D">
      <w:pPr>
        <w:pStyle w:val="ListParagraph"/>
        <w:ind w:left="708" w:right="616"/>
        <w:contextualSpacing w:val="0"/>
        <w:jc w:val="both"/>
        <w:rPr>
          <w:rFonts w:ascii="Verdana" w:hAnsi="Verdana"/>
          <w:sz w:val="16"/>
          <w:szCs w:val="16"/>
        </w:rPr>
      </w:pPr>
      <w:r w:rsidRPr="006E4CDF">
        <w:rPr>
          <w:rFonts w:ascii="Verdana" w:hAnsi="Verdana"/>
          <w:sz w:val="16"/>
          <w:szCs w:val="16"/>
        </w:rPr>
        <w:t>[…]</w:t>
      </w:r>
    </w:p>
    <w:p w14:paraId="2F623A53" w14:textId="77777777" w:rsidR="006E4CDF" w:rsidRPr="00DB01B1" w:rsidRDefault="006E4CDF" w:rsidP="0029579D">
      <w:pPr>
        <w:pStyle w:val="ListParagraph"/>
        <w:ind w:left="708" w:right="616"/>
        <w:contextualSpacing w:val="0"/>
        <w:jc w:val="both"/>
        <w:rPr>
          <w:rFonts w:ascii="Verdana" w:hAnsi="Verdana"/>
          <w:sz w:val="16"/>
          <w:szCs w:val="16"/>
          <w:highlight w:val="cyan"/>
        </w:rPr>
      </w:pPr>
    </w:p>
    <w:p w14:paraId="6B0D3E88" w14:textId="4136F274" w:rsidR="0069441C" w:rsidRPr="00316D77" w:rsidRDefault="0069441C" w:rsidP="0029579D">
      <w:pPr>
        <w:pStyle w:val="ListParagraph"/>
        <w:ind w:left="708" w:right="616"/>
        <w:contextualSpacing w:val="0"/>
        <w:jc w:val="both"/>
        <w:rPr>
          <w:rFonts w:ascii="Verdana" w:hAnsi="Verdana"/>
          <w:sz w:val="16"/>
          <w:szCs w:val="16"/>
        </w:rPr>
      </w:pPr>
      <w:r w:rsidRPr="009A3DA1">
        <w:rPr>
          <w:rFonts w:ascii="Verdana" w:hAnsi="Verdana"/>
          <w:sz w:val="16"/>
          <w:szCs w:val="16"/>
        </w:rPr>
        <w:t>26</w:t>
      </w:r>
      <w:r w:rsidR="00FB0B0D">
        <w:rPr>
          <w:rFonts w:ascii="Verdana" w:hAnsi="Verdana"/>
          <w:sz w:val="16"/>
          <w:szCs w:val="16"/>
        </w:rPr>
        <w:t>2</w:t>
      </w:r>
      <w:r w:rsidR="0064215C" w:rsidRPr="009A3DA1">
        <w:rPr>
          <w:rFonts w:ascii="Verdana" w:hAnsi="Verdana"/>
          <w:sz w:val="16"/>
          <w:szCs w:val="16"/>
        </w:rPr>
        <w:t xml:space="preserve">. </w:t>
      </w:r>
      <w:r w:rsidR="0064215C" w:rsidRPr="009A3DA1">
        <w:rPr>
          <w:rFonts w:ascii="Verdana" w:hAnsi="Verdana"/>
          <w:sz w:val="16"/>
          <w:szCs w:val="16"/>
          <w:u w:val="single"/>
        </w:rPr>
        <w:t xml:space="preserve">En consecuencia, dadas las circunstancias del presente caso, la Corte concluye que el Estado es responsable por no garantizar el uso y disfrute del derecho a la propiedad privada </w:t>
      </w:r>
      <w:r w:rsidR="0064215C" w:rsidRPr="009A3DA1">
        <w:rPr>
          <w:rFonts w:ascii="Verdana" w:hAnsi="Verdana"/>
          <w:sz w:val="16"/>
          <w:szCs w:val="16"/>
          <w:u w:val="single"/>
        </w:rPr>
        <w:lastRenderedPageBreak/>
        <w:t>consagrado en el artículo 21 de la Convención</w:t>
      </w:r>
      <w:r w:rsidR="0064215C" w:rsidRPr="00DB01B1">
        <w:rPr>
          <w:rFonts w:ascii="Verdana" w:hAnsi="Verdana"/>
          <w:sz w:val="16"/>
          <w:szCs w:val="16"/>
        </w:rPr>
        <w:t>, en relación con el artículo 1.1 del mismo instrumento, en perjuicio de Luz Dar</w:t>
      </w:r>
      <w:r w:rsidR="00DF5343" w:rsidRPr="009A3DA1">
        <w:rPr>
          <w:rFonts w:ascii="Verdana" w:hAnsi="Verdana"/>
          <w:sz w:val="16"/>
          <w:szCs w:val="16"/>
        </w:rPr>
        <w:t xml:space="preserve">y Ospina [y de sus familiares] </w:t>
      </w:r>
      <w:r w:rsidR="0064215C" w:rsidRPr="009A3DA1">
        <w:rPr>
          <w:rFonts w:ascii="Verdana" w:hAnsi="Verdana"/>
          <w:sz w:val="16"/>
          <w:szCs w:val="16"/>
        </w:rPr>
        <w:t>y de M</w:t>
      </w:r>
      <w:r w:rsidR="009A3DA1">
        <w:rPr>
          <w:rFonts w:ascii="Verdana" w:hAnsi="Verdana"/>
          <w:sz w:val="16"/>
          <w:szCs w:val="16"/>
        </w:rPr>
        <w:t>y</w:t>
      </w:r>
      <w:r w:rsidR="0064215C" w:rsidRPr="009A3DA1">
        <w:rPr>
          <w:rFonts w:ascii="Verdana" w:hAnsi="Verdana"/>
          <w:sz w:val="16"/>
          <w:szCs w:val="16"/>
        </w:rPr>
        <w:t>riam Rúa Figueroa, [y de sus familiares]</w:t>
      </w:r>
      <w:r w:rsidR="0066737E" w:rsidRPr="009A3DA1">
        <w:rPr>
          <w:rStyle w:val="FootnoteReference"/>
          <w:rFonts w:ascii="Verdana" w:hAnsi="Verdana"/>
          <w:sz w:val="16"/>
          <w:szCs w:val="16"/>
        </w:rPr>
        <w:footnoteReference w:id="150"/>
      </w:r>
      <w:r w:rsidR="0064215C" w:rsidRPr="009A3DA1">
        <w:rPr>
          <w:rFonts w:ascii="Verdana" w:hAnsi="Verdana"/>
          <w:sz w:val="16"/>
          <w:szCs w:val="16"/>
        </w:rPr>
        <w:t xml:space="preserve">. </w:t>
      </w:r>
      <w:r w:rsidR="00D40230" w:rsidRPr="009A3DA1">
        <w:rPr>
          <w:rFonts w:ascii="Verdana" w:hAnsi="Verdana"/>
          <w:sz w:val="16"/>
          <w:szCs w:val="16"/>
        </w:rPr>
        <w:t>(Subrayado añadido)</w:t>
      </w:r>
    </w:p>
    <w:p w14:paraId="7D2D22E8" w14:textId="77777777" w:rsidR="0064215C" w:rsidRPr="005A4DF1" w:rsidRDefault="0064215C" w:rsidP="00454C7F">
      <w:pPr>
        <w:pStyle w:val="ListParagraph"/>
        <w:widowControl w:val="0"/>
        <w:autoSpaceDE w:val="0"/>
        <w:autoSpaceDN w:val="0"/>
        <w:adjustRightInd w:val="0"/>
        <w:ind w:left="0"/>
        <w:jc w:val="both"/>
        <w:rPr>
          <w:rFonts w:ascii="Verdana" w:hAnsi="Verdana" w:cs="Times New Roman"/>
          <w:sz w:val="20"/>
          <w:szCs w:val="20"/>
        </w:rPr>
      </w:pPr>
    </w:p>
    <w:p w14:paraId="14D4A094" w14:textId="6754AAC4" w:rsidR="00C52250" w:rsidRPr="005A4DF1" w:rsidRDefault="00B7366A" w:rsidP="00D4680E">
      <w:pPr>
        <w:pStyle w:val="ListParagraph"/>
        <w:widowControl w:val="0"/>
        <w:autoSpaceDE w:val="0"/>
        <w:autoSpaceDN w:val="0"/>
        <w:adjustRightInd w:val="0"/>
        <w:ind w:left="0"/>
        <w:jc w:val="both"/>
        <w:rPr>
          <w:rFonts w:ascii="Verdana" w:hAnsi="Verdana" w:cs="Times New Roman"/>
          <w:sz w:val="20"/>
          <w:szCs w:val="20"/>
        </w:rPr>
      </w:pPr>
      <w:r>
        <w:rPr>
          <w:rFonts w:ascii="Verdana" w:hAnsi="Verdana" w:cs="Times New Roman"/>
          <w:sz w:val="20"/>
          <w:szCs w:val="20"/>
        </w:rPr>
        <w:t>130</w:t>
      </w:r>
      <w:r w:rsidR="00D4680E">
        <w:rPr>
          <w:rFonts w:ascii="Verdana" w:hAnsi="Verdana" w:cs="Times New Roman"/>
          <w:sz w:val="20"/>
          <w:szCs w:val="20"/>
        </w:rPr>
        <w:t xml:space="preserve">. </w:t>
      </w:r>
      <w:r w:rsidR="00D4680E">
        <w:rPr>
          <w:rFonts w:ascii="Verdana" w:hAnsi="Verdana" w:cs="Times New Roman"/>
          <w:sz w:val="20"/>
          <w:szCs w:val="20"/>
        </w:rPr>
        <w:tab/>
      </w:r>
      <w:r w:rsidR="00A87CAA" w:rsidRPr="005A4DF1">
        <w:rPr>
          <w:rFonts w:ascii="Verdana" w:hAnsi="Verdana" w:cs="Times New Roman"/>
          <w:sz w:val="20"/>
          <w:szCs w:val="20"/>
        </w:rPr>
        <w:t xml:space="preserve">El Tribunal Interamericano </w:t>
      </w:r>
      <w:r w:rsidR="0064215C" w:rsidRPr="005A4DF1">
        <w:rPr>
          <w:rFonts w:ascii="Verdana" w:hAnsi="Verdana" w:cs="Times New Roman"/>
          <w:sz w:val="20"/>
          <w:szCs w:val="20"/>
        </w:rPr>
        <w:t>ha entendi</w:t>
      </w:r>
      <w:r w:rsidR="00A87CAA" w:rsidRPr="005A4DF1">
        <w:rPr>
          <w:rFonts w:ascii="Verdana" w:hAnsi="Verdana" w:cs="Times New Roman"/>
          <w:sz w:val="20"/>
          <w:szCs w:val="20"/>
        </w:rPr>
        <w:t>do que el artículo 21 de la Convención Americana</w:t>
      </w:r>
      <w:r w:rsidR="0064215C" w:rsidRPr="005A4DF1">
        <w:rPr>
          <w:rFonts w:ascii="Verdana" w:hAnsi="Verdana" w:cs="Times New Roman"/>
          <w:sz w:val="20"/>
          <w:szCs w:val="20"/>
        </w:rPr>
        <w:t xml:space="preserve"> </w:t>
      </w:r>
      <w:r w:rsidR="002D5D40" w:rsidRPr="005A4DF1">
        <w:rPr>
          <w:rFonts w:ascii="Verdana" w:hAnsi="Verdana" w:cs="Times New Roman"/>
          <w:sz w:val="20"/>
          <w:szCs w:val="20"/>
        </w:rPr>
        <w:t xml:space="preserve">como una disposición que contiene un concepto amplio de </w:t>
      </w:r>
      <w:r w:rsidR="002D5D40" w:rsidRPr="005A4DF1">
        <w:rPr>
          <w:rFonts w:ascii="Verdana" w:hAnsi="Verdana"/>
          <w:sz w:val="20"/>
          <w:szCs w:val="20"/>
        </w:rPr>
        <w:t>propiedad que abarca, entre otros, a) “el uso y goce de los bienes, definidos como cosas materiales apropiables o como objetos intangibles</w:t>
      </w:r>
      <w:r w:rsidR="002D5D40" w:rsidRPr="005A4DF1">
        <w:rPr>
          <w:rStyle w:val="FootnoteReference"/>
          <w:rFonts w:ascii="Verdana" w:hAnsi="Verdana"/>
          <w:sz w:val="20"/>
          <w:szCs w:val="20"/>
        </w:rPr>
        <w:footnoteReference w:id="151"/>
      </w:r>
      <w:r w:rsidR="002D5D40" w:rsidRPr="005A4DF1">
        <w:rPr>
          <w:rFonts w:ascii="Verdana" w:hAnsi="Verdana"/>
          <w:sz w:val="20"/>
          <w:szCs w:val="20"/>
        </w:rPr>
        <w:t>, así como todo derecho que pueda formar parte del patrimonio de una persona”</w:t>
      </w:r>
      <w:r w:rsidR="002D5D40" w:rsidRPr="005A4DF1">
        <w:rPr>
          <w:rStyle w:val="FootnoteReference"/>
          <w:rFonts w:ascii="Verdana" w:hAnsi="Verdana"/>
          <w:sz w:val="20"/>
          <w:szCs w:val="20"/>
        </w:rPr>
        <w:footnoteReference w:id="152"/>
      </w:r>
      <w:r w:rsidR="002D5D40" w:rsidRPr="005A4DF1">
        <w:rPr>
          <w:rFonts w:ascii="Verdana" w:hAnsi="Verdana"/>
          <w:sz w:val="20"/>
          <w:szCs w:val="20"/>
        </w:rPr>
        <w:t>, b) que el concepto “comprende todos los muebles e inmuebles, los elementos corporales e incorporales y cualquier otro objeto inmaterial susceptible de valor”</w:t>
      </w:r>
      <w:r w:rsidR="002D5D40" w:rsidRPr="005A4DF1">
        <w:rPr>
          <w:rStyle w:val="FootnoteReference"/>
          <w:rFonts w:ascii="Verdana" w:hAnsi="Verdana"/>
          <w:sz w:val="20"/>
          <w:szCs w:val="20"/>
        </w:rPr>
        <w:footnoteReference w:id="153"/>
      </w:r>
      <w:r w:rsidR="002D5D40" w:rsidRPr="005A4DF1">
        <w:rPr>
          <w:rFonts w:ascii="Verdana" w:hAnsi="Verdana"/>
          <w:sz w:val="20"/>
          <w:szCs w:val="20"/>
        </w:rPr>
        <w:t>, y c) que el derecho a la propiedad privada reconocido en la Convención incluye además que tanto el uso como el goce pueden ser limitados por mandato de una ley, en consideración al “interés social o por razones de utilidad pública y en los casos y según las formas establecidas por la ley y que dicha privación se hará mediante el pago de una justa indemnización”</w:t>
      </w:r>
      <w:r w:rsidR="002D5D40" w:rsidRPr="005A4DF1">
        <w:rPr>
          <w:rStyle w:val="FootnoteReference"/>
          <w:rFonts w:ascii="Verdana" w:hAnsi="Verdana"/>
          <w:sz w:val="20"/>
          <w:szCs w:val="20"/>
        </w:rPr>
        <w:footnoteReference w:id="154"/>
      </w:r>
      <w:r w:rsidR="002D5D40" w:rsidRPr="005A4DF1">
        <w:rPr>
          <w:rFonts w:ascii="Verdana" w:hAnsi="Verdana"/>
          <w:sz w:val="20"/>
          <w:szCs w:val="20"/>
        </w:rPr>
        <w:t xml:space="preserve">. </w:t>
      </w:r>
    </w:p>
    <w:p w14:paraId="5C1C37F5" w14:textId="77777777" w:rsidR="00C52250" w:rsidRPr="005A4DF1" w:rsidRDefault="00C52250" w:rsidP="00454C7F">
      <w:pPr>
        <w:pStyle w:val="ListParagraph"/>
        <w:widowControl w:val="0"/>
        <w:autoSpaceDE w:val="0"/>
        <w:autoSpaceDN w:val="0"/>
        <w:adjustRightInd w:val="0"/>
        <w:ind w:left="0"/>
        <w:jc w:val="both"/>
        <w:rPr>
          <w:rFonts w:ascii="Verdana" w:hAnsi="Verdana" w:cs="Times New Roman"/>
          <w:sz w:val="20"/>
          <w:szCs w:val="20"/>
        </w:rPr>
      </w:pPr>
    </w:p>
    <w:p w14:paraId="542AA3C2" w14:textId="3B4EB332" w:rsidR="00A87CAA" w:rsidRPr="005A4DF1" w:rsidRDefault="00B7366A" w:rsidP="00D4680E">
      <w:pPr>
        <w:pStyle w:val="ListParagraph"/>
        <w:widowControl w:val="0"/>
        <w:autoSpaceDE w:val="0"/>
        <w:autoSpaceDN w:val="0"/>
        <w:adjustRightInd w:val="0"/>
        <w:ind w:left="0"/>
        <w:jc w:val="both"/>
        <w:rPr>
          <w:rFonts w:ascii="Verdana" w:hAnsi="Verdana" w:cs="Times New Roman"/>
          <w:sz w:val="20"/>
          <w:szCs w:val="20"/>
        </w:rPr>
      </w:pPr>
      <w:r>
        <w:rPr>
          <w:rFonts w:ascii="Verdana" w:hAnsi="Verdana" w:cs="Times New Roman"/>
          <w:sz w:val="20"/>
          <w:szCs w:val="20"/>
        </w:rPr>
        <w:t>131</w:t>
      </w:r>
      <w:r w:rsidR="00D4680E">
        <w:rPr>
          <w:rFonts w:ascii="Verdana" w:hAnsi="Verdana" w:cs="Times New Roman"/>
          <w:sz w:val="20"/>
          <w:szCs w:val="20"/>
        </w:rPr>
        <w:t xml:space="preserve">. </w:t>
      </w:r>
      <w:r w:rsidR="00D4680E">
        <w:rPr>
          <w:rFonts w:ascii="Verdana" w:hAnsi="Verdana" w:cs="Times New Roman"/>
          <w:sz w:val="20"/>
          <w:szCs w:val="20"/>
        </w:rPr>
        <w:tab/>
      </w:r>
      <w:r w:rsidR="002D5D40" w:rsidRPr="005A4DF1">
        <w:rPr>
          <w:rFonts w:ascii="Verdana" w:hAnsi="Verdana" w:cs="Times New Roman"/>
          <w:sz w:val="20"/>
          <w:szCs w:val="20"/>
        </w:rPr>
        <w:t>A</w:t>
      </w:r>
      <w:r w:rsidR="0064215C" w:rsidRPr="005A4DF1">
        <w:rPr>
          <w:rFonts w:ascii="Verdana" w:hAnsi="Verdana" w:cs="Times New Roman"/>
          <w:sz w:val="20"/>
          <w:szCs w:val="20"/>
        </w:rPr>
        <w:t>unque el derecho a la vivienda y a la</w:t>
      </w:r>
      <w:r w:rsidR="00A87CAA" w:rsidRPr="005A4DF1">
        <w:rPr>
          <w:rFonts w:ascii="Verdana" w:hAnsi="Verdana" w:cs="Times New Roman"/>
          <w:sz w:val="20"/>
          <w:szCs w:val="20"/>
        </w:rPr>
        <w:t xml:space="preserve"> propiedad están vinculados de </w:t>
      </w:r>
      <w:r w:rsidR="0064215C" w:rsidRPr="005A4DF1">
        <w:rPr>
          <w:rFonts w:ascii="Verdana" w:hAnsi="Verdana" w:cs="Times New Roman"/>
          <w:sz w:val="20"/>
          <w:szCs w:val="20"/>
        </w:rPr>
        <w:t xml:space="preserve">manera </w:t>
      </w:r>
      <w:r w:rsidR="002D5D40" w:rsidRPr="005A4DF1">
        <w:rPr>
          <w:rFonts w:ascii="Verdana" w:hAnsi="Verdana" w:cs="Times New Roman"/>
          <w:sz w:val="20"/>
          <w:szCs w:val="20"/>
        </w:rPr>
        <w:t xml:space="preserve">indivisible e </w:t>
      </w:r>
      <w:r w:rsidR="0064215C" w:rsidRPr="005A4DF1">
        <w:rPr>
          <w:rFonts w:ascii="Verdana" w:hAnsi="Verdana" w:cs="Times New Roman"/>
          <w:sz w:val="20"/>
          <w:szCs w:val="20"/>
        </w:rPr>
        <w:t>interdependiente,</w:t>
      </w:r>
      <w:r w:rsidR="00C52250" w:rsidRPr="005A4DF1">
        <w:rPr>
          <w:rFonts w:ascii="Verdana" w:hAnsi="Verdana" w:cs="Times New Roman"/>
          <w:sz w:val="20"/>
          <w:szCs w:val="20"/>
        </w:rPr>
        <w:t xml:space="preserve"> en tanto que</w:t>
      </w:r>
      <w:r w:rsidR="0064215C" w:rsidRPr="005A4DF1">
        <w:rPr>
          <w:rFonts w:ascii="Verdana" w:hAnsi="Verdana" w:cs="Times New Roman"/>
          <w:sz w:val="20"/>
          <w:szCs w:val="20"/>
        </w:rPr>
        <w:t xml:space="preserve"> toda vivienda puede ser susceptible de ser protegida mediante el derecho de propiedad, </w:t>
      </w:r>
      <w:r w:rsidR="00424BB0" w:rsidRPr="005A4DF1">
        <w:rPr>
          <w:rFonts w:ascii="Verdana" w:hAnsi="Verdana" w:cs="Times New Roman"/>
          <w:sz w:val="20"/>
          <w:szCs w:val="20"/>
        </w:rPr>
        <w:t xml:space="preserve">pero </w:t>
      </w:r>
      <w:r w:rsidR="0064215C" w:rsidRPr="005A4DF1">
        <w:rPr>
          <w:rFonts w:ascii="Verdana" w:hAnsi="Verdana" w:cs="Times New Roman"/>
          <w:sz w:val="20"/>
          <w:szCs w:val="20"/>
        </w:rPr>
        <w:t xml:space="preserve">no toda propiedad es necesariamente una vivienda. En este sentido, </w:t>
      </w:r>
      <w:r w:rsidR="0064215C" w:rsidRPr="005A4DF1">
        <w:rPr>
          <w:rFonts w:ascii="Verdana" w:hAnsi="Verdana" w:cs="Times"/>
          <w:sz w:val="20"/>
          <w:szCs w:val="20"/>
        </w:rPr>
        <w:t xml:space="preserve">en general, el derecho a la vivienda </w:t>
      </w:r>
      <w:r w:rsidR="0064215C" w:rsidRPr="005A4DF1">
        <w:rPr>
          <w:rFonts w:ascii="Verdana" w:hAnsi="Verdana" w:cs="Times"/>
          <w:i/>
          <w:sz w:val="20"/>
          <w:szCs w:val="20"/>
        </w:rPr>
        <w:t>es el derecho de toda persona a un hogar seguro, asequible y habitable</w:t>
      </w:r>
      <w:r w:rsidR="0064215C" w:rsidRPr="005A4DF1">
        <w:rPr>
          <w:rFonts w:ascii="Verdana" w:hAnsi="Verdana" w:cs="Times"/>
          <w:sz w:val="20"/>
          <w:szCs w:val="20"/>
        </w:rPr>
        <w:t>, concepto que no se abarca dentro del concepto de propiedad que ha desarrollado la Corte</w:t>
      </w:r>
      <w:r w:rsidR="00C52250" w:rsidRPr="005A4DF1">
        <w:rPr>
          <w:rFonts w:ascii="Verdana" w:hAnsi="Verdana" w:cs="Times"/>
          <w:sz w:val="20"/>
          <w:szCs w:val="20"/>
        </w:rPr>
        <w:t xml:space="preserve"> IDH en su jurisprudencia;</w:t>
      </w:r>
      <w:r w:rsidR="0064215C" w:rsidRPr="005A4DF1">
        <w:rPr>
          <w:rFonts w:ascii="Verdana" w:hAnsi="Verdana" w:cs="Times"/>
          <w:sz w:val="20"/>
          <w:szCs w:val="20"/>
        </w:rPr>
        <w:t xml:space="preserve"> así</w:t>
      </w:r>
      <w:r w:rsidR="00C52250" w:rsidRPr="005A4DF1">
        <w:rPr>
          <w:rFonts w:ascii="Verdana" w:hAnsi="Verdana" w:cs="Times"/>
          <w:sz w:val="20"/>
          <w:szCs w:val="20"/>
        </w:rPr>
        <w:t>,</w:t>
      </w:r>
      <w:r w:rsidR="0064215C" w:rsidRPr="005A4DF1">
        <w:rPr>
          <w:rFonts w:ascii="Verdana" w:hAnsi="Verdana" w:cs="Times"/>
          <w:sz w:val="20"/>
          <w:szCs w:val="20"/>
        </w:rPr>
        <w:t xml:space="preserve"> en el marco del desplazamiento forzado interno (inclusive </w:t>
      </w:r>
      <w:proofErr w:type="spellStart"/>
      <w:r w:rsidR="0064215C" w:rsidRPr="005A4DF1">
        <w:rPr>
          <w:rFonts w:ascii="Verdana" w:hAnsi="Verdana" w:cs="Times"/>
          <w:sz w:val="20"/>
          <w:szCs w:val="20"/>
        </w:rPr>
        <w:t>intraurbarno</w:t>
      </w:r>
      <w:proofErr w:type="spellEnd"/>
      <w:r w:rsidR="0064215C" w:rsidRPr="005A4DF1">
        <w:rPr>
          <w:rFonts w:ascii="Verdana" w:hAnsi="Verdana" w:cs="Times"/>
          <w:i/>
          <w:sz w:val="20"/>
          <w:szCs w:val="20"/>
        </w:rPr>
        <w:t>) se pueden suscitar violaciones a la vivienda ya sea por el simple hecho de abandonarla por la violencia y/o por la destrucción total o parcial de ella y, además</w:t>
      </w:r>
      <w:r w:rsidR="00424BB0" w:rsidRPr="005A4DF1">
        <w:rPr>
          <w:rFonts w:ascii="Verdana" w:hAnsi="Verdana" w:cs="Times"/>
          <w:i/>
          <w:sz w:val="20"/>
          <w:szCs w:val="20"/>
        </w:rPr>
        <w:t xml:space="preserve"> existiría una violación al derecho de la propiedad privada</w:t>
      </w:r>
      <w:r w:rsidR="0064215C" w:rsidRPr="005A4DF1">
        <w:rPr>
          <w:rFonts w:ascii="Verdana" w:hAnsi="Verdana" w:cs="Times"/>
          <w:i/>
          <w:sz w:val="20"/>
          <w:szCs w:val="20"/>
        </w:rPr>
        <w:t xml:space="preserve"> a otros bienes que se encuentren dentro de ella</w:t>
      </w:r>
      <w:r w:rsidR="007C2C3A" w:rsidRPr="005A4DF1">
        <w:rPr>
          <w:rStyle w:val="FootnoteReference"/>
          <w:rFonts w:ascii="Verdana" w:hAnsi="Verdana" w:cs="Times"/>
          <w:i/>
          <w:sz w:val="20"/>
          <w:szCs w:val="20"/>
        </w:rPr>
        <w:footnoteReference w:id="155"/>
      </w:r>
      <w:r w:rsidR="0064215C" w:rsidRPr="005A4DF1">
        <w:rPr>
          <w:rFonts w:ascii="Verdana" w:hAnsi="Verdana" w:cs="Times"/>
          <w:sz w:val="20"/>
          <w:szCs w:val="20"/>
        </w:rPr>
        <w:t xml:space="preserve">. </w:t>
      </w:r>
    </w:p>
    <w:p w14:paraId="5FED436E" w14:textId="77777777" w:rsidR="00A87CAA" w:rsidRPr="005A4DF1" w:rsidRDefault="00A87CAA" w:rsidP="00454C7F">
      <w:pPr>
        <w:widowControl w:val="0"/>
        <w:autoSpaceDE w:val="0"/>
        <w:autoSpaceDN w:val="0"/>
        <w:adjustRightInd w:val="0"/>
        <w:jc w:val="both"/>
        <w:rPr>
          <w:rFonts w:ascii="Verdana" w:hAnsi="Verdana" w:cs="Times"/>
          <w:sz w:val="20"/>
          <w:szCs w:val="20"/>
        </w:rPr>
      </w:pPr>
    </w:p>
    <w:p w14:paraId="715E0CCB" w14:textId="2FCB6B84" w:rsidR="0064215C" w:rsidRPr="005A4DF1" w:rsidRDefault="00B7366A" w:rsidP="00D4680E">
      <w:pPr>
        <w:pStyle w:val="ListParagraph"/>
        <w:widowControl w:val="0"/>
        <w:autoSpaceDE w:val="0"/>
        <w:autoSpaceDN w:val="0"/>
        <w:adjustRightInd w:val="0"/>
        <w:ind w:left="0"/>
        <w:jc w:val="both"/>
        <w:rPr>
          <w:rFonts w:ascii="Verdana" w:hAnsi="Verdana" w:cs="Times New Roman"/>
          <w:sz w:val="20"/>
          <w:szCs w:val="20"/>
        </w:rPr>
      </w:pPr>
      <w:r>
        <w:rPr>
          <w:rFonts w:ascii="Verdana" w:hAnsi="Verdana" w:cs="Times"/>
          <w:sz w:val="20"/>
          <w:szCs w:val="20"/>
        </w:rPr>
        <w:t>132</w:t>
      </w:r>
      <w:r w:rsidR="00D4680E">
        <w:rPr>
          <w:rFonts w:ascii="Verdana" w:hAnsi="Verdana" w:cs="Times"/>
          <w:sz w:val="20"/>
          <w:szCs w:val="20"/>
        </w:rPr>
        <w:t xml:space="preserve">. </w:t>
      </w:r>
      <w:r w:rsidR="00D4680E">
        <w:rPr>
          <w:rFonts w:ascii="Verdana" w:hAnsi="Verdana" w:cs="Times"/>
          <w:sz w:val="20"/>
          <w:szCs w:val="20"/>
        </w:rPr>
        <w:tab/>
      </w:r>
      <w:r w:rsidR="00A87CAA" w:rsidRPr="005A4DF1">
        <w:rPr>
          <w:rFonts w:ascii="Verdana" w:hAnsi="Verdana" w:cs="Times"/>
          <w:sz w:val="20"/>
          <w:szCs w:val="20"/>
        </w:rPr>
        <w:t>Esta diferenciación quedó plasmada</w:t>
      </w:r>
      <w:r w:rsidR="00DF5343" w:rsidRPr="005A4DF1">
        <w:rPr>
          <w:rFonts w:ascii="Verdana" w:hAnsi="Verdana" w:cs="Times"/>
          <w:sz w:val="20"/>
          <w:szCs w:val="20"/>
        </w:rPr>
        <w:t xml:space="preserve"> en la</w:t>
      </w:r>
      <w:r w:rsidR="00A87CAA" w:rsidRPr="005A4DF1">
        <w:rPr>
          <w:rFonts w:ascii="Verdana" w:hAnsi="Verdana" w:cs="Times"/>
          <w:sz w:val="20"/>
          <w:szCs w:val="20"/>
        </w:rPr>
        <w:t>s reparaciones de la</w:t>
      </w:r>
      <w:r w:rsidR="00DF5343" w:rsidRPr="005A4DF1">
        <w:rPr>
          <w:rFonts w:ascii="Verdana" w:hAnsi="Verdana" w:cs="Times"/>
          <w:sz w:val="20"/>
          <w:szCs w:val="20"/>
        </w:rPr>
        <w:t xml:space="preserve"> Sentencia</w:t>
      </w:r>
      <w:r w:rsidR="00A87CAA" w:rsidRPr="005A4DF1">
        <w:rPr>
          <w:rFonts w:ascii="Verdana" w:hAnsi="Verdana" w:cs="Times"/>
          <w:sz w:val="20"/>
          <w:szCs w:val="20"/>
        </w:rPr>
        <w:t xml:space="preserve">, </w:t>
      </w:r>
      <w:r w:rsidR="00C22A74" w:rsidRPr="005A4DF1">
        <w:rPr>
          <w:rFonts w:ascii="Verdana" w:hAnsi="Verdana" w:cs="Times"/>
          <w:sz w:val="20"/>
          <w:szCs w:val="20"/>
        </w:rPr>
        <w:t>respecto</w:t>
      </w:r>
      <w:r w:rsidR="00FE4064" w:rsidRPr="005A4DF1">
        <w:rPr>
          <w:rFonts w:ascii="Verdana" w:hAnsi="Verdana" w:cs="Times"/>
          <w:sz w:val="20"/>
          <w:szCs w:val="20"/>
        </w:rPr>
        <w:t xml:space="preserve"> del daño material</w:t>
      </w:r>
      <w:r w:rsidR="00A87CAA" w:rsidRPr="005A4DF1">
        <w:rPr>
          <w:rFonts w:ascii="Verdana" w:hAnsi="Verdana" w:cs="Times"/>
          <w:sz w:val="20"/>
          <w:szCs w:val="20"/>
        </w:rPr>
        <w:t xml:space="preserve">. En efecto, la </w:t>
      </w:r>
      <w:r w:rsidR="001E1477" w:rsidRPr="005A4DF1">
        <w:rPr>
          <w:rFonts w:ascii="Verdana" w:hAnsi="Verdana" w:cs="Times"/>
          <w:sz w:val="20"/>
          <w:szCs w:val="20"/>
        </w:rPr>
        <w:t>Corte IDH</w:t>
      </w:r>
      <w:r w:rsidR="00DF5343" w:rsidRPr="005A4DF1">
        <w:rPr>
          <w:rFonts w:ascii="Verdana" w:hAnsi="Verdana" w:cs="Times"/>
          <w:sz w:val="20"/>
          <w:szCs w:val="20"/>
        </w:rPr>
        <w:t xml:space="preserve"> </w:t>
      </w:r>
      <w:r w:rsidR="00A87CAA" w:rsidRPr="005A4DF1">
        <w:rPr>
          <w:rFonts w:ascii="Verdana" w:hAnsi="Verdana" w:cs="Times"/>
          <w:sz w:val="20"/>
          <w:szCs w:val="20"/>
        </w:rPr>
        <w:t xml:space="preserve">estimó </w:t>
      </w:r>
      <w:r w:rsidR="001E1477" w:rsidRPr="005A4DF1">
        <w:rPr>
          <w:rFonts w:ascii="Verdana" w:hAnsi="Verdana" w:cs="Times"/>
          <w:sz w:val="20"/>
          <w:szCs w:val="20"/>
        </w:rPr>
        <w:t>que</w:t>
      </w:r>
      <w:r w:rsidR="00DF5343" w:rsidRPr="005A4DF1">
        <w:rPr>
          <w:rFonts w:ascii="Verdana" w:hAnsi="Verdana" w:cs="Times"/>
          <w:sz w:val="20"/>
          <w:szCs w:val="20"/>
        </w:rPr>
        <w:t xml:space="preserve">: </w:t>
      </w:r>
    </w:p>
    <w:p w14:paraId="065F3040" w14:textId="77777777" w:rsidR="00DF5343" w:rsidRPr="005A4DF1" w:rsidRDefault="00DF5343" w:rsidP="00454C7F">
      <w:pPr>
        <w:pStyle w:val="ListParagraph"/>
        <w:ind w:left="0" w:right="758"/>
        <w:jc w:val="both"/>
        <w:rPr>
          <w:rFonts w:ascii="Verdana" w:hAnsi="Verdana" w:cs="Arial"/>
          <w:sz w:val="20"/>
          <w:szCs w:val="20"/>
        </w:rPr>
      </w:pPr>
    </w:p>
    <w:p w14:paraId="0CCAB316" w14:textId="2C8ACBCE" w:rsidR="00DF5343" w:rsidRPr="0070163D" w:rsidRDefault="00DF5343" w:rsidP="00DB0CC4">
      <w:pPr>
        <w:ind w:left="708" w:right="616"/>
        <w:jc w:val="both"/>
        <w:rPr>
          <w:rFonts w:ascii="Verdana" w:hAnsi="Verdana"/>
          <w:sz w:val="16"/>
          <w:szCs w:val="16"/>
        </w:rPr>
      </w:pPr>
      <w:r w:rsidRPr="009A3DA1">
        <w:rPr>
          <w:rFonts w:ascii="Verdana" w:hAnsi="Verdana"/>
          <w:sz w:val="16"/>
          <w:szCs w:val="16"/>
        </w:rPr>
        <w:t>36</w:t>
      </w:r>
      <w:r w:rsidR="0029579D">
        <w:rPr>
          <w:rFonts w:ascii="Verdana" w:hAnsi="Verdana"/>
          <w:sz w:val="16"/>
          <w:szCs w:val="16"/>
        </w:rPr>
        <w:t>4</w:t>
      </w:r>
      <w:r w:rsidRPr="009A3DA1">
        <w:rPr>
          <w:rFonts w:ascii="Verdana" w:hAnsi="Verdana"/>
          <w:sz w:val="16"/>
          <w:szCs w:val="16"/>
        </w:rPr>
        <w:t>. Sin perjuicio de ello, este Tribunal considera que se ha de presumir que, como ya lo ha hecho en casos previos, que las señoras Ospina, Rúa, Mosquera y Naranjo y sus familiares desplazados, a saber: Gustavo de Jesús Tobón Menes</w:t>
      </w:r>
      <w:r w:rsidRPr="00DB01B1">
        <w:rPr>
          <w:rFonts w:ascii="Verdana" w:hAnsi="Verdana"/>
          <w:sz w:val="16"/>
          <w:szCs w:val="16"/>
        </w:rPr>
        <w:t xml:space="preserve">es, Bárbara del Sol Palacios Rúa, </w:t>
      </w:r>
      <w:r w:rsidRPr="00DB01B1">
        <w:rPr>
          <w:rFonts w:ascii="Verdana" w:hAnsi="Verdana"/>
          <w:sz w:val="16"/>
          <w:szCs w:val="16"/>
        </w:rPr>
        <w:lastRenderedPageBreak/>
        <w:t xml:space="preserve">Úrsula Manuela Palacios Rúa, Valentina Tobón Rúa, Oscar Tulio Hoyos Oquendo, </w:t>
      </w:r>
      <w:proofErr w:type="spellStart"/>
      <w:r w:rsidRPr="00DB01B1">
        <w:rPr>
          <w:rFonts w:ascii="Verdana" w:hAnsi="Verdana"/>
          <w:sz w:val="16"/>
          <w:szCs w:val="16"/>
        </w:rPr>
        <w:t>Edid</w:t>
      </w:r>
      <w:proofErr w:type="spellEnd"/>
      <w:r w:rsidRPr="00DB01B1">
        <w:rPr>
          <w:rFonts w:ascii="Verdana" w:hAnsi="Verdana"/>
          <w:sz w:val="16"/>
          <w:szCs w:val="16"/>
        </w:rPr>
        <w:t xml:space="preserve"> </w:t>
      </w:r>
      <w:proofErr w:type="spellStart"/>
      <w:r w:rsidRPr="00DB01B1">
        <w:rPr>
          <w:rFonts w:ascii="Verdana" w:hAnsi="Verdana"/>
          <w:sz w:val="16"/>
          <w:szCs w:val="16"/>
        </w:rPr>
        <w:t>Yazmín</w:t>
      </w:r>
      <w:proofErr w:type="spellEnd"/>
      <w:r w:rsidRPr="00DB01B1">
        <w:rPr>
          <w:rFonts w:ascii="Verdana" w:hAnsi="Verdana"/>
          <w:sz w:val="16"/>
          <w:szCs w:val="16"/>
        </w:rPr>
        <w:t xml:space="preserve"> Hoyos Ospina, Oscar Darío Hoyos Ospina, Migdalia Andrea Hoyos Ospina, Hilda Milena Villa Mosquera, y </w:t>
      </w:r>
      <w:proofErr w:type="spellStart"/>
      <w:r w:rsidRPr="00DB01B1">
        <w:rPr>
          <w:rFonts w:ascii="Verdana" w:hAnsi="Verdana"/>
          <w:sz w:val="16"/>
          <w:szCs w:val="16"/>
        </w:rPr>
        <w:t>Lubín</w:t>
      </w:r>
      <w:proofErr w:type="spellEnd"/>
      <w:r w:rsidRPr="00DB01B1">
        <w:rPr>
          <w:rFonts w:ascii="Verdana" w:hAnsi="Verdana"/>
          <w:sz w:val="16"/>
          <w:szCs w:val="16"/>
        </w:rPr>
        <w:t xml:space="preserve"> Alfonso Villa Mosquera</w:t>
      </w:r>
      <w:r w:rsidRPr="009A3DA1">
        <w:rPr>
          <w:rFonts w:ascii="Verdana" w:hAnsi="Verdana"/>
          <w:sz w:val="16"/>
          <w:szCs w:val="16"/>
          <w:u w:val="single"/>
        </w:rPr>
        <w:t xml:space="preserve"> incurrieron en diversos gastos con motivo de su desplazamiento</w:t>
      </w:r>
      <w:r w:rsidRPr="009A3DA1">
        <w:rPr>
          <w:rFonts w:ascii="Verdana" w:hAnsi="Verdana"/>
          <w:sz w:val="16"/>
          <w:szCs w:val="16"/>
        </w:rPr>
        <w:t xml:space="preserve">. </w:t>
      </w:r>
      <w:r w:rsidRPr="009A3DA1">
        <w:rPr>
          <w:rFonts w:ascii="Verdana" w:hAnsi="Verdana"/>
          <w:sz w:val="16"/>
          <w:szCs w:val="16"/>
          <w:u w:val="single"/>
        </w:rPr>
        <w:t>Por tanto, considera pertinente el reintegro</w:t>
      </w:r>
      <w:r w:rsidR="00566C71">
        <w:rPr>
          <w:rFonts w:ascii="Verdana" w:hAnsi="Verdana"/>
          <w:sz w:val="16"/>
          <w:szCs w:val="16"/>
          <w:u w:val="single"/>
        </w:rPr>
        <w:t>,</w:t>
      </w:r>
      <w:r w:rsidRPr="00566C71">
        <w:rPr>
          <w:rFonts w:ascii="Verdana" w:hAnsi="Verdana"/>
          <w:sz w:val="16"/>
          <w:szCs w:val="16"/>
          <w:u w:val="single"/>
        </w:rPr>
        <w:t xml:space="preserve"> en equidad</w:t>
      </w:r>
      <w:r w:rsidR="00566C71">
        <w:rPr>
          <w:rFonts w:ascii="Verdana" w:hAnsi="Verdana"/>
          <w:sz w:val="16"/>
          <w:szCs w:val="16"/>
          <w:u w:val="single"/>
        </w:rPr>
        <w:t>,</w:t>
      </w:r>
      <w:r w:rsidRPr="00566C71">
        <w:rPr>
          <w:rFonts w:ascii="Verdana" w:hAnsi="Verdana"/>
          <w:sz w:val="16"/>
          <w:szCs w:val="16"/>
          <w:u w:val="single"/>
        </w:rPr>
        <w:t xml:space="preserve"> de un monto de USD $15,000.00 (quince mil dólares de los Estados Unidos de América) </w:t>
      </w:r>
      <w:r w:rsidRPr="00566C71">
        <w:rPr>
          <w:rFonts w:ascii="Verdana" w:hAnsi="Verdana"/>
          <w:b/>
          <w:sz w:val="16"/>
          <w:szCs w:val="16"/>
          <w:u w:val="single"/>
        </w:rPr>
        <w:t>por concepto de daño material a favor de cada una de di</w:t>
      </w:r>
      <w:r w:rsidRPr="00DB01B1">
        <w:rPr>
          <w:rFonts w:ascii="Verdana" w:hAnsi="Verdana"/>
          <w:b/>
          <w:sz w:val="16"/>
          <w:szCs w:val="16"/>
          <w:u w:val="single"/>
        </w:rPr>
        <w:t>chas personas</w:t>
      </w:r>
      <w:r w:rsidRPr="009A3DA1">
        <w:rPr>
          <w:rFonts w:ascii="Verdana" w:hAnsi="Verdana"/>
          <w:sz w:val="16"/>
          <w:szCs w:val="16"/>
        </w:rPr>
        <w:t xml:space="preserve">. </w:t>
      </w:r>
      <w:r w:rsidRPr="009A3DA1">
        <w:rPr>
          <w:rFonts w:ascii="Verdana" w:hAnsi="Verdana" w:cs="Arial"/>
          <w:spacing w:val="-2"/>
          <w:sz w:val="16"/>
          <w:szCs w:val="16"/>
          <w:u w:val="single"/>
        </w:rPr>
        <w:t xml:space="preserve">En relación con la violación del derecho a la propiedad privada declarada en el presente caso, la Corte considera que el Estado debe pagar, en equidad, un monto de </w:t>
      </w:r>
      <w:r w:rsidRPr="009A3DA1">
        <w:rPr>
          <w:rFonts w:ascii="Verdana" w:hAnsi="Verdana"/>
          <w:sz w:val="16"/>
          <w:szCs w:val="16"/>
          <w:u w:val="single"/>
          <w:lang w:val="es-ES"/>
        </w:rPr>
        <w:t>USD $20,000.00 (veinte mil dólares de los Estados Unidos de América)</w:t>
      </w:r>
      <w:r w:rsidRPr="009A3DA1">
        <w:rPr>
          <w:rFonts w:ascii="Verdana" w:hAnsi="Verdana" w:cs="Arial"/>
          <w:spacing w:val="-2"/>
          <w:sz w:val="16"/>
          <w:szCs w:val="16"/>
          <w:u w:val="single"/>
        </w:rPr>
        <w:t xml:space="preserve"> </w:t>
      </w:r>
      <w:r w:rsidRPr="009A3DA1">
        <w:rPr>
          <w:rFonts w:ascii="Verdana" w:hAnsi="Verdana" w:cs="Arial"/>
          <w:b/>
          <w:spacing w:val="-2"/>
          <w:sz w:val="16"/>
          <w:szCs w:val="16"/>
          <w:u w:val="single"/>
        </w:rPr>
        <w:t>al grupo familiar de la señora Luz Dary Ospina</w:t>
      </w:r>
      <w:r w:rsidRPr="009A3DA1">
        <w:rPr>
          <w:rFonts w:ascii="Verdana" w:hAnsi="Verdana" w:cs="Arial"/>
          <w:spacing w:val="-2"/>
          <w:sz w:val="16"/>
          <w:szCs w:val="16"/>
          <w:u w:val="single"/>
        </w:rPr>
        <w:t xml:space="preserve"> e igualmente un monto de </w:t>
      </w:r>
      <w:r w:rsidRPr="009A3DA1">
        <w:rPr>
          <w:rFonts w:ascii="Verdana" w:hAnsi="Verdana"/>
          <w:sz w:val="16"/>
          <w:szCs w:val="16"/>
          <w:u w:val="single"/>
          <w:lang w:val="es-ES"/>
        </w:rPr>
        <w:t>USD $20,000.00 (veinte mil dólares de los Estados Unidos de América)</w:t>
      </w:r>
      <w:r w:rsidRPr="009A3DA1">
        <w:rPr>
          <w:rFonts w:ascii="Verdana" w:hAnsi="Verdana" w:cs="Arial"/>
          <w:spacing w:val="-2"/>
          <w:sz w:val="16"/>
          <w:szCs w:val="16"/>
          <w:u w:val="single"/>
        </w:rPr>
        <w:t xml:space="preserve"> </w:t>
      </w:r>
      <w:r w:rsidRPr="009A3DA1">
        <w:rPr>
          <w:rFonts w:ascii="Verdana" w:hAnsi="Verdana" w:cs="Arial"/>
          <w:b/>
          <w:spacing w:val="-2"/>
          <w:sz w:val="16"/>
          <w:szCs w:val="16"/>
          <w:u w:val="single"/>
        </w:rPr>
        <w:t>al grupo familiar de la señora Rúa Figueroa</w:t>
      </w:r>
      <w:r w:rsidRPr="009A3DA1">
        <w:rPr>
          <w:rFonts w:ascii="Verdana" w:hAnsi="Verdana" w:cs="Arial"/>
          <w:spacing w:val="-2"/>
          <w:sz w:val="16"/>
          <w:szCs w:val="16"/>
          <w:u w:val="single"/>
        </w:rPr>
        <w:t xml:space="preserve"> </w:t>
      </w:r>
      <w:r w:rsidRPr="009A3DA1">
        <w:rPr>
          <w:rFonts w:ascii="Verdana" w:hAnsi="Verdana"/>
          <w:sz w:val="16"/>
          <w:szCs w:val="16"/>
          <w:u w:val="single"/>
        </w:rPr>
        <w:t>(</w:t>
      </w:r>
      <w:r w:rsidRPr="009A3DA1">
        <w:rPr>
          <w:rFonts w:ascii="Verdana" w:hAnsi="Verdana"/>
          <w:i/>
          <w:sz w:val="16"/>
          <w:szCs w:val="16"/>
          <w:u w:val="single"/>
        </w:rPr>
        <w:t>supra</w:t>
      </w:r>
      <w:r w:rsidRPr="009A3DA1">
        <w:rPr>
          <w:rFonts w:ascii="Verdana" w:hAnsi="Verdana"/>
          <w:sz w:val="16"/>
          <w:szCs w:val="16"/>
          <w:u w:val="single"/>
        </w:rPr>
        <w:t xml:space="preserve"> párr. </w:t>
      </w:r>
      <w:r w:rsidR="00566C71">
        <w:rPr>
          <w:rFonts w:ascii="Verdana" w:hAnsi="Verdana"/>
          <w:sz w:val="16"/>
          <w:szCs w:val="16"/>
          <w:u w:val="single"/>
        </w:rPr>
        <w:t>267</w:t>
      </w:r>
      <w:r w:rsidRPr="00566C71">
        <w:rPr>
          <w:rFonts w:ascii="Verdana" w:hAnsi="Verdana"/>
          <w:sz w:val="16"/>
          <w:szCs w:val="16"/>
          <w:u w:val="single"/>
        </w:rPr>
        <w:t>)</w:t>
      </w:r>
      <w:r w:rsidRPr="008757AC">
        <w:rPr>
          <w:rFonts w:ascii="Verdana" w:hAnsi="Verdana"/>
          <w:sz w:val="16"/>
          <w:szCs w:val="16"/>
          <w:u w:val="single"/>
          <w:lang w:val="es-MX"/>
        </w:rPr>
        <w:t xml:space="preserve">. </w:t>
      </w:r>
      <w:r w:rsidRPr="008757AC">
        <w:rPr>
          <w:rFonts w:ascii="Verdana" w:hAnsi="Verdana"/>
          <w:sz w:val="16"/>
          <w:szCs w:val="16"/>
          <w:lang w:val="es-MX"/>
        </w:rPr>
        <w:t>La suma será entregada a las mencionadas señoras</w:t>
      </w:r>
      <w:r w:rsidR="00C22A74" w:rsidRPr="008757AC">
        <w:rPr>
          <w:rStyle w:val="FootnoteReference"/>
          <w:rFonts w:ascii="Verdana" w:hAnsi="Verdana"/>
          <w:sz w:val="16"/>
          <w:szCs w:val="16"/>
          <w:lang w:val="es-MX"/>
        </w:rPr>
        <w:footnoteReference w:id="156"/>
      </w:r>
      <w:r w:rsidRPr="00DB01B1">
        <w:rPr>
          <w:rFonts w:ascii="Verdana" w:hAnsi="Verdana"/>
          <w:sz w:val="16"/>
          <w:szCs w:val="16"/>
          <w:lang w:val="es-MX"/>
        </w:rPr>
        <w:t xml:space="preserve">. </w:t>
      </w:r>
      <w:r w:rsidR="0070163D" w:rsidRPr="00DB01B1">
        <w:rPr>
          <w:rFonts w:ascii="Verdana" w:hAnsi="Verdana"/>
          <w:sz w:val="16"/>
          <w:szCs w:val="16"/>
          <w:lang w:val="es-MX"/>
        </w:rPr>
        <w:t>(Énfasis añadido).</w:t>
      </w:r>
    </w:p>
    <w:p w14:paraId="2B6035C7" w14:textId="77777777" w:rsidR="002D5D40" w:rsidRPr="005A4DF1" w:rsidRDefault="002D5D40" w:rsidP="00454C7F">
      <w:pPr>
        <w:widowControl w:val="0"/>
        <w:autoSpaceDE w:val="0"/>
        <w:autoSpaceDN w:val="0"/>
        <w:adjustRightInd w:val="0"/>
        <w:jc w:val="both"/>
        <w:rPr>
          <w:rFonts w:ascii="Verdana" w:hAnsi="Verdana" w:cs="Times New Roman"/>
          <w:b/>
          <w:sz w:val="20"/>
          <w:szCs w:val="20"/>
          <w:highlight w:val="yellow"/>
        </w:rPr>
      </w:pPr>
    </w:p>
    <w:p w14:paraId="23BF698E" w14:textId="64AF283E" w:rsidR="00C52250" w:rsidRPr="005A4DF1" w:rsidRDefault="00B7366A" w:rsidP="00D4680E">
      <w:pPr>
        <w:pStyle w:val="ListParagraph"/>
        <w:widowControl w:val="0"/>
        <w:autoSpaceDE w:val="0"/>
        <w:autoSpaceDN w:val="0"/>
        <w:adjustRightInd w:val="0"/>
        <w:ind w:left="0"/>
        <w:jc w:val="both"/>
        <w:rPr>
          <w:rFonts w:ascii="Verdana" w:hAnsi="Verdana" w:cs="Times New Roman"/>
          <w:sz w:val="20"/>
          <w:szCs w:val="20"/>
        </w:rPr>
      </w:pPr>
      <w:r>
        <w:rPr>
          <w:rFonts w:ascii="Verdana" w:hAnsi="Verdana" w:cs="Times New Roman"/>
          <w:sz w:val="20"/>
          <w:szCs w:val="20"/>
        </w:rPr>
        <w:t>133</w:t>
      </w:r>
      <w:r w:rsidR="00D4680E">
        <w:rPr>
          <w:rFonts w:ascii="Verdana" w:hAnsi="Verdana" w:cs="Times New Roman"/>
          <w:sz w:val="20"/>
          <w:szCs w:val="20"/>
        </w:rPr>
        <w:t xml:space="preserve">. </w:t>
      </w:r>
      <w:r w:rsidR="00D4680E">
        <w:rPr>
          <w:rFonts w:ascii="Verdana" w:hAnsi="Verdana" w:cs="Times New Roman"/>
          <w:sz w:val="20"/>
          <w:szCs w:val="20"/>
        </w:rPr>
        <w:tab/>
      </w:r>
      <w:r w:rsidR="00C52250" w:rsidRPr="005A4DF1">
        <w:rPr>
          <w:rFonts w:ascii="Verdana" w:hAnsi="Verdana" w:cs="Times New Roman"/>
          <w:sz w:val="20"/>
          <w:szCs w:val="20"/>
        </w:rPr>
        <w:t>De esta manera la</w:t>
      </w:r>
      <w:r w:rsidR="0070163D">
        <w:rPr>
          <w:rFonts w:ascii="Verdana" w:hAnsi="Verdana" w:cs="Times New Roman"/>
          <w:sz w:val="20"/>
          <w:szCs w:val="20"/>
        </w:rPr>
        <w:t xml:space="preserve"> Corte IDH</w:t>
      </w:r>
      <w:r w:rsidR="00D439AA" w:rsidRPr="005A4DF1">
        <w:rPr>
          <w:rFonts w:ascii="Verdana" w:hAnsi="Verdana" w:cs="Times New Roman"/>
          <w:sz w:val="20"/>
          <w:szCs w:val="20"/>
        </w:rPr>
        <w:t xml:space="preserve"> considera una reparación diferenciada dentro del contenido del artículo 21 entre el derecho a la propiedad </w:t>
      </w:r>
      <w:r w:rsidR="00D439AA" w:rsidRPr="005A4DF1">
        <w:rPr>
          <w:rFonts w:ascii="Verdana" w:hAnsi="Verdana" w:cs="Times New Roman"/>
          <w:i/>
          <w:sz w:val="20"/>
          <w:szCs w:val="20"/>
        </w:rPr>
        <w:t>a favor de cada una de las personas</w:t>
      </w:r>
      <w:r w:rsidR="00A87CAA" w:rsidRPr="005A4DF1">
        <w:rPr>
          <w:rFonts w:ascii="Verdana" w:hAnsi="Verdana" w:cs="Times New Roman"/>
          <w:sz w:val="20"/>
          <w:szCs w:val="20"/>
        </w:rPr>
        <w:t xml:space="preserve"> </w:t>
      </w:r>
      <w:r w:rsidR="00A87CAA" w:rsidRPr="005A4DF1">
        <w:rPr>
          <w:rFonts w:ascii="Verdana" w:hAnsi="Verdana"/>
          <w:sz w:val="20"/>
          <w:szCs w:val="20"/>
        </w:rPr>
        <w:t>—</w:t>
      </w:r>
      <w:r w:rsidR="00D439AA" w:rsidRPr="005A4DF1">
        <w:rPr>
          <w:rFonts w:ascii="Verdana" w:hAnsi="Verdana" w:cs="Times New Roman"/>
          <w:sz w:val="20"/>
          <w:szCs w:val="20"/>
        </w:rPr>
        <w:t xml:space="preserve">en términos de bienes como ha sido concebido por el </w:t>
      </w:r>
      <w:r w:rsidR="00DE649B" w:rsidRPr="005A4DF1">
        <w:rPr>
          <w:rFonts w:ascii="Verdana" w:hAnsi="Verdana" w:cs="Times New Roman"/>
          <w:sz w:val="20"/>
          <w:szCs w:val="20"/>
        </w:rPr>
        <w:t xml:space="preserve">artículo 21 </w:t>
      </w:r>
      <w:r w:rsidR="00D439AA" w:rsidRPr="005A4DF1">
        <w:rPr>
          <w:rFonts w:ascii="Verdana" w:hAnsi="Verdana" w:cs="Times New Roman"/>
          <w:sz w:val="20"/>
          <w:szCs w:val="20"/>
        </w:rPr>
        <w:t>como pé</w:t>
      </w:r>
      <w:r w:rsidR="00DE649B" w:rsidRPr="005A4DF1">
        <w:rPr>
          <w:rFonts w:ascii="Verdana" w:hAnsi="Verdana" w:cs="Times New Roman"/>
          <w:sz w:val="20"/>
          <w:szCs w:val="20"/>
        </w:rPr>
        <w:t xml:space="preserve">rdida de </w:t>
      </w:r>
      <w:r w:rsidR="00DE649B" w:rsidRPr="005A4DF1">
        <w:rPr>
          <w:rFonts w:ascii="Verdana" w:hAnsi="Verdana" w:cs="Arial"/>
          <w:sz w:val="20"/>
          <w:szCs w:val="20"/>
        </w:rPr>
        <w:t>sus ingreso</w:t>
      </w:r>
      <w:r w:rsidR="00C52250" w:rsidRPr="005A4DF1">
        <w:rPr>
          <w:rFonts w:ascii="Verdana" w:hAnsi="Verdana" w:cs="Arial"/>
          <w:sz w:val="20"/>
          <w:szCs w:val="20"/>
        </w:rPr>
        <w:t xml:space="preserve">s, bienes muebles </w:t>
      </w:r>
      <w:r w:rsidR="00DE649B" w:rsidRPr="005A4DF1">
        <w:rPr>
          <w:rFonts w:ascii="Verdana" w:hAnsi="Verdana" w:cs="Arial"/>
          <w:sz w:val="20"/>
          <w:szCs w:val="20"/>
        </w:rPr>
        <w:t>o gastos de arriendo</w:t>
      </w:r>
      <w:r w:rsidR="00A87CAA" w:rsidRPr="005A4DF1">
        <w:rPr>
          <w:rFonts w:ascii="Verdana" w:hAnsi="Verdana"/>
          <w:sz w:val="20"/>
          <w:szCs w:val="20"/>
        </w:rPr>
        <w:t>—</w:t>
      </w:r>
      <w:r w:rsidR="00D439AA" w:rsidRPr="005A4DF1">
        <w:rPr>
          <w:rFonts w:ascii="Verdana" w:hAnsi="Verdana" w:cs="Arial"/>
          <w:b/>
          <w:sz w:val="20"/>
          <w:szCs w:val="20"/>
        </w:rPr>
        <w:t xml:space="preserve"> </w:t>
      </w:r>
      <w:r w:rsidR="00D439AA" w:rsidRPr="005A4DF1">
        <w:rPr>
          <w:rFonts w:ascii="Verdana" w:hAnsi="Verdana" w:cs="Times New Roman"/>
          <w:sz w:val="20"/>
          <w:szCs w:val="20"/>
        </w:rPr>
        <w:t>y la reparación de la vivienda (como un aspecto diferenciado de lo que tradicionalmente se ha entendido por “bienes”) al resarcir el daño a</w:t>
      </w:r>
      <w:r w:rsidR="005F2697" w:rsidRPr="005A4DF1">
        <w:rPr>
          <w:rFonts w:ascii="Verdana" w:hAnsi="Verdana" w:cs="Times New Roman"/>
          <w:sz w:val="20"/>
          <w:szCs w:val="20"/>
        </w:rPr>
        <w:t xml:space="preserve"> </w:t>
      </w:r>
      <w:r w:rsidR="00D439AA" w:rsidRPr="005A4DF1">
        <w:rPr>
          <w:rFonts w:ascii="Verdana" w:hAnsi="Verdana" w:cs="Times New Roman"/>
          <w:sz w:val="20"/>
          <w:szCs w:val="20"/>
        </w:rPr>
        <w:t>l</w:t>
      </w:r>
      <w:r w:rsidR="005F2697" w:rsidRPr="005A4DF1">
        <w:rPr>
          <w:rFonts w:ascii="Verdana" w:hAnsi="Verdana" w:cs="Times New Roman"/>
          <w:sz w:val="20"/>
          <w:szCs w:val="20"/>
        </w:rPr>
        <w:t>os</w:t>
      </w:r>
      <w:r w:rsidR="00D439AA" w:rsidRPr="005A4DF1">
        <w:rPr>
          <w:rFonts w:ascii="Verdana" w:hAnsi="Verdana" w:cs="Times New Roman"/>
          <w:sz w:val="20"/>
          <w:szCs w:val="20"/>
        </w:rPr>
        <w:t xml:space="preserve"> </w:t>
      </w:r>
      <w:r w:rsidR="00D439AA" w:rsidRPr="005A4DF1">
        <w:rPr>
          <w:rFonts w:ascii="Verdana" w:hAnsi="Verdana" w:cs="Times New Roman"/>
          <w:i/>
          <w:sz w:val="20"/>
          <w:szCs w:val="20"/>
        </w:rPr>
        <w:t>grupo</w:t>
      </w:r>
      <w:r w:rsidR="005F2697" w:rsidRPr="005A4DF1">
        <w:rPr>
          <w:rFonts w:ascii="Verdana" w:hAnsi="Verdana" w:cs="Times New Roman"/>
          <w:i/>
          <w:sz w:val="20"/>
          <w:szCs w:val="20"/>
        </w:rPr>
        <w:t xml:space="preserve">s </w:t>
      </w:r>
      <w:r w:rsidR="00D439AA" w:rsidRPr="005A4DF1">
        <w:rPr>
          <w:rFonts w:ascii="Verdana" w:hAnsi="Verdana" w:cs="Times New Roman"/>
          <w:i/>
          <w:sz w:val="20"/>
          <w:szCs w:val="20"/>
        </w:rPr>
        <w:t>familiar</w:t>
      </w:r>
      <w:r w:rsidR="005F2697" w:rsidRPr="005A4DF1">
        <w:rPr>
          <w:rFonts w:ascii="Verdana" w:hAnsi="Verdana" w:cs="Times New Roman"/>
          <w:i/>
          <w:sz w:val="20"/>
          <w:szCs w:val="20"/>
        </w:rPr>
        <w:t>es</w:t>
      </w:r>
      <w:r w:rsidR="00D439AA" w:rsidRPr="005A4DF1">
        <w:rPr>
          <w:rFonts w:ascii="Verdana" w:hAnsi="Verdana" w:cs="Times New Roman"/>
          <w:i/>
          <w:sz w:val="20"/>
          <w:szCs w:val="20"/>
        </w:rPr>
        <w:t xml:space="preserve"> </w:t>
      </w:r>
      <w:r w:rsidR="00A87CAA" w:rsidRPr="005A4DF1">
        <w:rPr>
          <w:rFonts w:ascii="Verdana" w:hAnsi="Verdana" w:cs="Times New Roman"/>
          <w:sz w:val="20"/>
          <w:szCs w:val="20"/>
        </w:rPr>
        <w:t>de las señoras Ospina y Rúa;</w:t>
      </w:r>
      <w:r w:rsidR="00D439AA" w:rsidRPr="005A4DF1">
        <w:rPr>
          <w:rFonts w:ascii="Verdana" w:hAnsi="Verdana" w:cs="Times New Roman"/>
          <w:sz w:val="20"/>
          <w:szCs w:val="20"/>
        </w:rPr>
        <w:t xml:space="preserve"> es decir, su derecho a obtener una </w:t>
      </w:r>
      <w:r w:rsidR="00D439AA" w:rsidRPr="005A4DF1">
        <w:rPr>
          <w:rFonts w:ascii="Verdana" w:hAnsi="Verdana" w:cs="Times New Roman"/>
          <w:i/>
          <w:sz w:val="20"/>
          <w:szCs w:val="20"/>
        </w:rPr>
        <w:t>vivienda adecuada</w:t>
      </w:r>
      <w:r w:rsidR="00D439AA" w:rsidRPr="005A4DF1">
        <w:rPr>
          <w:rFonts w:ascii="Verdana" w:hAnsi="Verdana" w:cs="Times New Roman"/>
          <w:sz w:val="20"/>
          <w:szCs w:val="20"/>
        </w:rPr>
        <w:t>.</w:t>
      </w:r>
    </w:p>
    <w:p w14:paraId="0EB3D50E" w14:textId="77777777" w:rsidR="00C52250" w:rsidRPr="005A4DF1" w:rsidRDefault="00C52250" w:rsidP="00454C7F">
      <w:pPr>
        <w:pStyle w:val="ListParagraph"/>
        <w:widowControl w:val="0"/>
        <w:autoSpaceDE w:val="0"/>
        <w:autoSpaceDN w:val="0"/>
        <w:adjustRightInd w:val="0"/>
        <w:ind w:left="0"/>
        <w:jc w:val="both"/>
        <w:rPr>
          <w:rFonts w:ascii="Verdana" w:hAnsi="Verdana" w:cs="Times New Roman"/>
          <w:sz w:val="20"/>
          <w:szCs w:val="20"/>
        </w:rPr>
      </w:pPr>
    </w:p>
    <w:p w14:paraId="0E6BC75E" w14:textId="53BE0CB7" w:rsidR="004635AE" w:rsidRPr="005A4DF1" w:rsidRDefault="00B7366A" w:rsidP="00D4680E">
      <w:pPr>
        <w:pStyle w:val="ListParagraph"/>
        <w:widowControl w:val="0"/>
        <w:autoSpaceDE w:val="0"/>
        <w:autoSpaceDN w:val="0"/>
        <w:adjustRightInd w:val="0"/>
        <w:ind w:left="0"/>
        <w:jc w:val="both"/>
        <w:rPr>
          <w:rFonts w:ascii="Verdana" w:hAnsi="Verdana" w:cs="Times New Roman"/>
          <w:sz w:val="20"/>
          <w:szCs w:val="20"/>
        </w:rPr>
      </w:pPr>
      <w:r>
        <w:rPr>
          <w:rFonts w:ascii="Verdana" w:hAnsi="Verdana" w:cs="Times New Roman"/>
          <w:sz w:val="20"/>
          <w:szCs w:val="20"/>
        </w:rPr>
        <w:t>134</w:t>
      </w:r>
      <w:r w:rsidR="00D4680E">
        <w:rPr>
          <w:rFonts w:ascii="Verdana" w:hAnsi="Verdana" w:cs="Times New Roman"/>
          <w:sz w:val="20"/>
          <w:szCs w:val="20"/>
        </w:rPr>
        <w:t xml:space="preserve">. </w:t>
      </w:r>
      <w:r w:rsidR="00D4680E">
        <w:rPr>
          <w:rFonts w:ascii="Verdana" w:hAnsi="Verdana" w:cs="Times New Roman"/>
          <w:sz w:val="20"/>
          <w:szCs w:val="20"/>
        </w:rPr>
        <w:tab/>
      </w:r>
      <w:r w:rsidR="002D5D40" w:rsidRPr="005A4DF1">
        <w:rPr>
          <w:rFonts w:ascii="Verdana" w:hAnsi="Verdana" w:cs="Times New Roman"/>
          <w:sz w:val="20"/>
          <w:szCs w:val="20"/>
        </w:rPr>
        <w:t xml:space="preserve">En este sentido, el reconocimiento diferenciado del derecho a la vivienda del derecho a la propiedad privada, en este tipo de contextos, permiten dimensionar la gravedad de las afectaciones que, por ejemplo, resienten las defensoras de derechos humanos al ser </w:t>
      </w:r>
      <w:r w:rsidR="00F86445">
        <w:rPr>
          <w:rFonts w:ascii="Verdana" w:hAnsi="Verdana" w:cs="Times New Roman"/>
          <w:sz w:val="20"/>
          <w:szCs w:val="20"/>
        </w:rPr>
        <w:t>ví</w:t>
      </w:r>
      <w:r w:rsidR="004F27D6" w:rsidRPr="005A4DF1">
        <w:rPr>
          <w:rFonts w:ascii="Verdana" w:hAnsi="Verdana" w:cs="Times New Roman"/>
          <w:sz w:val="20"/>
          <w:szCs w:val="20"/>
        </w:rPr>
        <w:t xml:space="preserve">ctimas de desplazamiento </w:t>
      </w:r>
      <w:proofErr w:type="spellStart"/>
      <w:r w:rsidR="004F27D6" w:rsidRPr="005A4DF1">
        <w:rPr>
          <w:rFonts w:ascii="Verdana" w:hAnsi="Verdana" w:cs="Times New Roman"/>
          <w:sz w:val="20"/>
          <w:szCs w:val="20"/>
        </w:rPr>
        <w:t>intra</w:t>
      </w:r>
      <w:r w:rsidR="00512C22" w:rsidRPr="005A4DF1">
        <w:rPr>
          <w:rFonts w:ascii="Verdana" w:hAnsi="Verdana" w:cs="Times New Roman"/>
          <w:sz w:val="20"/>
          <w:szCs w:val="20"/>
        </w:rPr>
        <w:t>urbano</w:t>
      </w:r>
      <w:proofErr w:type="spellEnd"/>
      <w:r w:rsidR="00512C22" w:rsidRPr="005A4DF1">
        <w:rPr>
          <w:rFonts w:ascii="Verdana" w:hAnsi="Verdana" w:cs="Times New Roman"/>
          <w:sz w:val="20"/>
          <w:szCs w:val="20"/>
        </w:rPr>
        <w:t>,</w:t>
      </w:r>
      <w:r w:rsidR="002D5D40" w:rsidRPr="005A4DF1">
        <w:rPr>
          <w:rFonts w:ascii="Verdana" w:hAnsi="Verdana" w:cs="Times New Roman"/>
          <w:sz w:val="20"/>
          <w:szCs w:val="20"/>
        </w:rPr>
        <w:t xml:space="preserve"> </w:t>
      </w:r>
      <w:r w:rsidR="00C52250" w:rsidRPr="005A4DF1">
        <w:rPr>
          <w:rFonts w:ascii="Verdana" w:hAnsi="Verdana" w:cs="Times New Roman"/>
          <w:sz w:val="20"/>
          <w:szCs w:val="20"/>
        </w:rPr>
        <w:t>ya que</w:t>
      </w:r>
      <w:r w:rsidR="002D5D40" w:rsidRPr="005A4DF1">
        <w:rPr>
          <w:rFonts w:ascii="Verdana" w:hAnsi="Verdana" w:cs="Times New Roman"/>
          <w:sz w:val="20"/>
          <w:szCs w:val="20"/>
        </w:rPr>
        <w:t xml:space="preserve"> en muchos casos la destrucción de las viviendas sirv</w:t>
      </w:r>
      <w:r w:rsidR="005F2697" w:rsidRPr="005A4DF1">
        <w:rPr>
          <w:rFonts w:ascii="Verdana" w:hAnsi="Verdana" w:cs="Times New Roman"/>
          <w:sz w:val="20"/>
          <w:szCs w:val="20"/>
        </w:rPr>
        <w:t>e</w:t>
      </w:r>
      <w:r w:rsidR="002B582F" w:rsidRPr="005A4DF1">
        <w:rPr>
          <w:rFonts w:ascii="Verdana" w:hAnsi="Verdana" w:cs="Times New Roman"/>
          <w:sz w:val="20"/>
          <w:szCs w:val="20"/>
        </w:rPr>
        <w:t xml:space="preserve"> como medio de intimidación</w:t>
      </w:r>
      <w:r w:rsidR="002D5D40" w:rsidRPr="005A4DF1">
        <w:rPr>
          <w:rFonts w:ascii="Verdana" w:hAnsi="Verdana" w:cs="Times New Roman"/>
          <w:sz w:val="20"/>
          <w:szCs w:val="20"/>
        </w:rPr>
        <w:t xml:space="preserve"> contra las y los defensores de derechos humanos para que no sigan desarrollando sus labores; lo que además acarrea el desmembramiento de las relaciones familiares y el lugar en donde han desarrollado su vida. </w:t>
      </w:r>
    </w:p>
    <w:p w14:paraId="4C0C269D" w14:textId="77777777" w:rsidR="004635AE" w:rsidRPr="005A4DF1" w:rsidRDefault="004635AE" w:rsidP="00454C7F">
      <w:pPr>
        <w:widowControl w:val="0"/>
        <w:autoSpaceDE w:val="0"/>
        <w:autoSpaceDN w:val="0"/>
        <w:adjustRightInd w:val="0"/>
        <w:jc w:val="both"/>
        <w:rPr>
          <w:rFonts w:ascii="Verdana" w:hAnsi="Verdana" w:cs="Times New Roman"/>
          <w:sz w:val="20"/>
          <w:szCs w:val="20"/>
        </w:rPr>
      </w:pPr>
    </w:p>
    <w:p w14:paraId="40C35262" w14:textId="21291601" w:rsidR="00D4680E" w:rsidRPr="003F2593" w:rsidRDefault="00B7366A" w:rsidP="00D4680E">
      <w:pPr>
        <w:pStyle w:val="ListParagraph"/>
        <w:widowControl w:val="0"/>
        <w:autoSpaceDE w:val="0"/>
        <w:autoSpaceDN w:val="0"/>
        <w:adjustRightInd w:val="0"/>
        <w:ind w:left="0"/>
        <w:jc w:val="both"/>
        <w:rPr>
          <w:rFonts w:ascii="Verdana" w:hAnsi="Verdana" w:cs="Times New Roman"/>
          <w:sz w:val="20"/>
          <w:szCs w:val="20"/>
        </w:rPr>
      </w:pPr>
      <w:r w:rsidRPr="003F2593">
        <w:rPr>
          <w:rFonts w:ascii="Verdana" w:hAnsi="Verdana" w:cs="Times New Roman"/>
          <w:sz w:val="20"/>
          <w:szCs w:val="20"/>
        </w:rPr>
        <w:t>135</w:t>
      </w:r>
      <w:r w:rsidR="00D4680E" w:rsidRPr="003F2593">
        <w:rPr>
          <w:rFonts w:ascii="Verdana" w:hAnsi="Verdana" w:cs="Times New Roman"/>
          <w:sz w:val="20"/>
          <w:szCs w:val="20"/>
        </w:rPr>
        <w:t xml:space="preserve">. </w:t>
      </w:r>
      <w:r w:rsidR="00D4680E" w:rsidRPr="003F2593">
        <w:rPr>
          <w:rFonts w:ascii="Verdana" w:hAnsi="Verdana" w:cs="Times New Roman"/>
          <w:sz w:val="20"/>
          <w:szCs w:val="20"/>
        </w:rPr>
        <w:tab/>
      </w:r>
      <w:r w:rsidR="003825B6" w:rsidRPr="003F2593">
        <w:rPr>
          <w:rFonts w:ascii="Verdana" w:hAnsi="Verdana" w:cs="Times New Roman"/>
          <w:sz w:val="20"/>
          <w:szCs w:val="20"/>
        </w:rPr>
        <w:t xml:space="preserve"> </w:t>
      </w:r>
      <w:r w:rsidR="00D4680E" w:rsidRPr="003F2593">
        <w:rPr>
          <w:rFonts w:ascii="Verdana" w:hAnsi="Verdana"/>
          <w:sz w:val="20"/>
          <w:szCs w:val="20"/>
        </w:rPr>
        <w:t xml:space="preserve">Ahora bien, la Corte IDH no estableció una responsabilidad directa, por violación al deber de respeto, respecto de desplazamiento forzado </w:t>
      </w:r>
      <w:proofErr w:type="spellStart"/>
      <w:r w:rsidR="00D4680E" w:rsidRPr="003F2593">
        <w:rPr>
          <w:rFonts w:ascii="Verdana" w:hAnsi="Verdana"/>
          <w:sz w:val="20"/>
          <w:szCs w:val="20"/>
        </w:rPr>
        <w:t>intraurbano</w:t>
      </w:r>
      <w:proofErr w:type="spellEnd"/>
      <w:r w:rsidR="00D4680E" w:rsidRPr="003F2593">
        <w:rPr>
          <w:rFonts w:ascii="Verdana" w:hAnsi="Verdana"/>
          <w:sz w:val="20"/>
          <w:szCs w:val="20"/>
        </w:rPr>
        <w:t xml:space="preserve"> de las víctimas ni sobre el abandono, la ocupación o la destrucción de los inmuebles que habitaban; es decir, no determinó que el Estado, a través de sus agentes, hubiera causado tales actos. </w:t>
      </w:r>
    </w:p>
    <w:p w14:paraId="203C467B" w14:textId="77777777" w:rsidR="00D4680E" w:rsidRDefault="00D4680E" w:rsidP="00D4680E">
      <w:pPr>
        <w:pStyle w:val="ListParagraph"/>
        <w:autoSpaceDE w:val="0"/>
        <w:autoSpaceDN w:val="0"/>
        <w:adjustRightInd w:val="0"/>
        <w:ind w:left="0" w:right="-144"/>
        <w:contextualSpacing w:val="0"/>
        <w:rPr>
          <w:szCs w:val="20"/>
        </w:rPr>
      </w:pPr>
    </w:p>
    <w:p w14:paraId="43689E19" w14:textId="54B45E25" w:rsidR="00D4680E" w:rsidRPr="003F2593" w:rsidRDefault="00B7366A" w:rsidP="00D4680E">
      <w:pPr>
        <w:pStyle w:val="ListParagraph"/>
        <w:autoSpaceDE w:val="0"/>
        <w:autoSpaceDN w:val="0"/>
        <w:adjustRightInd w:val="0"/>
        <w:ind w:left="0" w:right="-144"/>
        <w:contextualSpacing w:val="0"/>
        <w:jc w:val="both"/>
        <w:rPr>
          <w:rFonts w:ascii="Verdana" w:hAnsi="Verdana"/>
          <w:sz w:val="20"/>
          <w:szCs w:val="20"/>
        </w:rPr>
      </w:pPr>
      <w:r w:rsidRPr="00566C71">
        <w:rPr>
          <w:rFonts w:ascii="Verdana" w:hAnsi="Verdana"/>
          <w:sz w:val="20"/>
          <w:szCs w:val="20"/>
        </w:rPr>
        <w:t>136</w:t>
      </w:r>
      <w:r w:rsidR="00D4680E" w:rsidRPr="00566C71">
        <w:rPr>
          <w:rFonts w:ascii="Verdana" w:hAnsi="Verdana"/>
          <w:sz w:val="20"/>
          <w:szCs w:val="20"/>
        </w:rPr>
        <w:t xml:space="preserve">. </w:t>
      </w:r>
      <w:r w:rsidR="00D4680E" w:rsidRPr="00566C71">
        <w:rPr>
          <w:rFonts w:ascii="Verdana" w:hAnsi="Verdana"/>
          <w:sz w:val="20"/>
          <w:szCs w:val="20"/>
        </w:rPr>
        <w:tab/>
        <w:t>Sin perjuicio de ello, en los párrafos 25</w:t>
      </w:r>
      <w:r w:rsidR="00061BEF">
        <w:rPr>
          <w:rFonts w:ascii="Verdana" w:hAnsi="Verdana"/>
          <w:sz w:val="20"/>
          <w:szCs w:val="20"/>
        </w:rPr>
        <w:t>8</w:t>
      </w:r>
      <w:r w:rsidR="00D4680E" w:rsidRPr="00566C71">
        <w:rPr>
          <w:rFonts w:ascii="Verdana" w:hAnsi="Verdana"/>
          <w:sz w:val="20"/>
          <w:szCs w:val="20"/>
        </w:rPr>
        <w:t xml:space="preserve"> y 2</w:t>
      </w:r>
      <w:r w:rsidR="00061BEF">
        <w:rPr>
          <w:rFonts w:ascii="Verdana" w:hAnsi="Verdana"/>
          <w:sz w:val="20"/>
          <w:szCs w:val="20"/>
        </w:rPr>
        <w:t>59</w:t>
      </w:r>
      <w:r w:rsidR="00D4680E" w:rsidRPr="00566C71">
        <w:rPr>
          <w:rFonts w:ascii="Verdana" w:hAnsi="Verdana"/>
          <w:sz w:val="20"/>
          <w:szCs w:val="20"/>
        </w:rPr>
        <w:t xml:space="preserve"> transcritos</w:t>
      </w:r>
      <w:r w:rsidR="00A758B2" w:rsidRPr="00566C71">
        <w:rPr>
          <w:rStyle w:val="FootnoteReference"/>
          <w:rFonts w:ascii="Verdana" w:hAnsi="Verdana"/>
          <w:sz w:val="20"/>
          <w:szCs w:val="20"/>
        </w:rPr>
        <w:footnoteReference w:id="157"/>
      </w:r>
      <w:r w:rsidR="00D4680E" w:rsidRPr="00566C71">
        <w:rPr>
          <w:rFonts w:ascii="Verdana" w:hAnsi="Verdana"/>
          <w:sz w:val="20"/>
          <w:szCs w:val="20"/>
        </w:rPr>
        <w:t xml:space="preserve">, el Tribunal Interamericano aseveró que cuando denunciaron </w:t>
      </w:r>
      <w:r w:rsidR="00F86445" w:rsidRPr="00DB01B1">
        <w:rPr>
          <w:rFonts w:ascii="Verdana" w:hAnsi="Verdana"/>
          <w:sz w:val="20"/>
          <w:szCs w:val="20"/>
        </w:rPr>
        <w:t>su desplazamiento las señoras Rú</w:t>
      </w:r>
      <w:r w:rsidR="00D4680E" w:rsidRPr="00591DCC">
        <w:rPr>
          <w:rFonts w:ascii="Verdana" w:hAnsi="Verdana"/>
          <w:sz w:val="20"/>
          <w:szCs w:val="20"/>
        </w:rPr>
        <w:t>a y Ospina se refirieron por primera vez al abandono que hicieron de sus vi</w:t>
      </w:r>
      <w:r w:rsidR="00D4680E" w:rsidRPr="00566C71">
        <w:rPr>
          <w:rFonts w:ascii="Verdana" w:hAnsi="Verdana"/>
          <w:sz w:val="20"/>
          <w:szCs w:val="20"/>
        </w:rPr>
        <w:t xml:space="preserve">viendas, siendo estas destruidas y saqueadas paulatinamente por terceros; concluyendo que después de las denuncias presentadas por las víctimas, el Estado no adoptó medidas necesarias para proteger los bienes de las presuntas víctimas ni facilitó mecanismos para la obtención de una </w:t>
      </w:r>
      <w:r w:rsidR="00D4680E" w:rsidRPr="00566C71">
        <w:rPr>
          <w:rFonts w:ascii="Verdana" w:hAnsi="Verdana"/>
          <w:i/>
          <w:sz w:val="20"/>
          <w:szCs w:val="20"/>
        </w:rPr>
        <w:t>vivienda adecuada</w:t>
      </w:r>
      <w:r w:rsidR="00D4680E" w:rsidRPr="00566C71">
        <w:rPr>
          <w:rFonts w:ascii="Verdana" w:hAnsi="Verdana"/>
          <w:sz w:val="20"/>
          <w:szCs w:val="20"/>
        </w:rPr>
        <w:t>. Tampoco adoptó las medidas necesarias para garantizar a las presuntas víctimas un regreso seguro a la Comuna 13, en vulneración del deber de garantía del derecho de circulación y residencia. Todo ello generó una grave privación del uso y goce de los bienes de las presuntas víctimas. Por lo expuesto, la Corte IDH entendió que el Estado no garantizó el derecho a la propiedad privada de las víctimas.</w:t>
      </w:r>
      <w:r w:rsidR="00D4680E" w:rsidRPr="003F2593">
        <w:rPr>
          <w:rFonts w:ascii="Verdana" w:hAnsi="Verdana"/>
          <w:sz w:val="20"/>
          <w:szCs w:val="20"/>
        </w:rPr>
        <w:t xml:space="preserve"> </w:t>
      </w:r>
    </w:p>
    <w:p w14:paraId="1F85EE84" w14:textId="77777777" w:rsidR="00D4680E" w:rsidRDefault="00D4680E" w:rsidP="00D4680E">
      <w:pPr>
        <w:pStyle w:val="ListParagraph"/>
        <w:autoSpaceDE w:val="0"/>
        <w:autoSpaceDN w:val="0"/>
        <w:adjustRightInd w:val="0"/>
        <w:ind w:left="0" w:right="-144"/>
        <w:contextualSpacing w:val="0"/>
        <w:rPr>
          <w:szCs w:val="20"/>
        </w:rPr>
      </w:pPr>
    </w:p>
    <w:p w14:paraId="701BF1BA" w14:textId="4350E32D" w:rsidR="00D4680E" w:rsidRPr="003F2593" w:rsidRDefault="00B7366A" w:rsidP="00D4680E">
      <w:pPr>
        <w:pStyle w:val="ListParagraph"/>
        <w:ind w:left="0" w:right="-144"/>
        <w:contextualSpacing w:val="0"/>
        <w:jc w:val="both"/>
        <w:rPr>
          <w:rFonts w:ascii="Verdana" w:hAnsi="Verdana"/>
          <w:bCs/>
          <w:sz w:val="20"/>
          <w:szCs w:val="20"/>
        </w:rPr>
      </w:pPr>
      <w:r w:rsidRPr="003F2593">
        <w:rPr>
          <w:rFonts w:ascii="Verdana" w:hAnsi="Verdana"/>
          <w:sz w:val="20"/>
          <w:szCs w:val="20"/>
        </w:rPr>
        <w:lastRenderedPageBreak/>
        <w:t>137</w:t>
      </w:r>
      <w:r w:rsidR="00D4680E" w:rsidRPr="003F2593">
        <w:rPr>
          <w:rFonts w:ascii="Verdana" w:hAnsi="Verdana"/>
          <w:sz w:val="20"/>
          <w:szCs w:val="20"/>
        </w:rPr>
        <w:t xml:space="preserve">. </w:t>
      </w:r>
      <w:r w:rsidR="00D4680E" w:rsidRPr="003F2593">
        <w:rPr>
          <w:rFonts w:ascii="Verdana" w:hAnsi="Verdana"/>
          <w:sz w:val="20"/>
          <w:szCs w:val="20"/>
        </w:rPr>
        <w:tab/>
      </w:r>
      <w:r w:rsidR="00D4680E" w:rsidRPr="00566C71">
        <w:rPr>
          <w:rFonts w:ascii="Verdana" w:hAnsi="Verdana"/>
          <w:sz w:val="20"/>
          <w:szCs w:val="20"/>
        </w:rPr>
        <w:t xml:space="preserve">Como se advierte, </w:t>
      </w:r>
      <w:r w:rsidR="008162B7" w:rsidRPr="008757AC">
        <w:rPr>
          <w:rFonts w:ascii="Verdana" w:hAnsi="Verdana"/>
          <w:sz w:val="20"/>
          <w:szCs w:val="20"/>
        </w:rPr>
        <w:t>la Corte IDH no dejó de advertir</w:t>
      </w:r>
      <w:r w:rsidR="00D4680E" w:rsidRPr="008757AC">
        <w:rPr>
          <w:rFonts w:ascii="Verdana" w:hAnsi="Verdana"/>
          <w:sz w:val="20"/>
          <w:szCs w:val="20"/>
        </w:rPr>
        <w:t xml:space="preserve"> el vín</w:t>
      </w:r>
      <w:r w:rsidR="00D4680E" w:rsidRPr="00DB01B1">
        <w:rPr>
          <w:rFonts w:ascii="Verdana" w:hAnsi="Verdana"/>
          <w:sz w:val="20"/>
          <w:szCs w:val="20"/>
        </w:rPr>
        <w:t>culo que en el caso tenía la pro</w:t>
      </w:r>
      <w:r w:rsidR="00A758B2" w:rsidRPr="00DB01B1">
        <w:rPr>
          <w:rFonts w:ascii="Verdana" w:hAnsi="Verdana"/>
          <w:sz w:val="20"/>
          <w:szCs w:val="20"/>
        </w:rPr>
        <w:t xml:space="preserve">piedad con la vivienda. Incluso, el Tribunal Interamericano </w:t>
      </w:r>
      <w:r w:rsidR="00D4680E" w:rsidRPr="00591DCC">
        <w:rPr>
          <w:rFonts w:ascii="Verdana" w:hAnsi="Verdana"/>
          <w:sz w:val="20"/>
          <w:szCs w:val="20"/>
        </w:rPr>
        <w:t xml:space="preserve">hizo énfasis en ello, </w:t>
      </w:r>
      <w:r w:rsidR="008162B7" w:rsidRPr="00566C71">
        <w:rPr>
          <w:rFonts w:ascii="Verdana" w:hAnsi="Verdana"/>
          <w:sz w:val="20"/>
          <w:szCs w:val="20"/>
        </w:rPr>
        <w:t>para destacar la “particular relev</w:t>
      </w:r>
      <w:r w:rsidR="00D4680E" w:rsidRPr="00566C71">
        <w:rPr>
          <w:rFonts w:ascii="Verdana" w:hAnsi="Verdana"/>
          <w:sz w:val="20"/>
          <w:szCs w:val="20"/>
        </w:rPr>
        <w:t>ancia” que en el caso tenía la protección de la propiedad, advirtiendo la relación de ello con “otros derechos humanos”, sin explicitar una alusión puntual. Expresó que “</w:t>
      </w:r>
      <w:r w:rsidR="00D4680E" w:rsidRPr="00566C71">
        <w:rPr>
          <w:rFonts w:ascii="Verdana" w:hAnsi="Verdana"/>
          <w:bCs/>
          <w:sz w:val="20"/>
          <w:szCs w:val="20"/>
        </w:rPr>
        <w:t xml:space="preserve">la vulneración al derecho a la propiedad no conllevó solo el menoscabo patrimonial o económico, sino la afectación a otros derechos humanos. En efecto, las señoras Rúa, Ospina y sus familiares se vieron privados de sus viviendas. Como en otros casos, es relevante apreciar la relación e interdependencia entre distintos derechos, e interpretar el contenido de los mismos a partir de ello. </w:t>
      </w:r>
      <w:r w:rsidR="005F24DA">
        <w:rPr>
          <w:rFonts w:ascii="Verdana" w:hAnsi="Verdana"/>
          <w:bCs/>
          <w:sz w:val="20"/>
          <w:szCs w:val="20"/>
        </w:rPr>
        <w:t xml:space="preserve">[…] </w:t>
      </w:r>
      <w:r w:rsidR="00D4680E" w:rsidRPr="00566C71">
        <w:rPr>
          <w:rFonts w:ascii="Verdana" w:hAnsi="Verdana"/>
          <w:bCs/>
          <w:sz w:val="20"/>
          <w:szCs w:val="20"/>
        </w:rPr>
        <w:t>Teniendo en consideración lo expuesto, el deber estatal de proteger los bienes de las presuntas víctimas se entiende cabalmente advirtiendo la relevancia de los bienes en cuestión para las personas perjudicadas, por ser sus viviendas, así como la afectación que generó su privación en el caso, particularmente respecto de mujeres y niños”</w:t>
      </w:r>
      <w:r w:rsidR="00A758B2" w:rsidRPr="00566C71">
        <w:rPr>
          <w:rStyle w:val="FootnoteReference"/>
          <w:rFonts w:ascii="Verdana" w:hAnsi="Verdana"/>
          <w:bCs/>
          <w:sz w:val="20"/>
          <w:szCs w:val="20"/>
        </w:rPr>
        <w:footnoteReference w:id="158"/>
      </w:r>
      <w:r w:rsidR="00D4680E" w:rsidRPr="00566C71">
        <w:rPr>
          <w:rFonts w:ascii="Verdana" w:hAnsi="Verdana"/>
          <w:bCs/>
          <w:sz w:val="20"/>
          <w:szCs w:val="20"/>
        </w:rPr>
        <w:t>.</w:t>
      </w:r>
      <w:r w:rsidR="00D4680E" w:rsidRPr="003F2593">
        <w:rPr>
          <w:rFonts w:ascii="Verdana" w:hAnsi="Verdana"/>
          <w:bCs/>
          <w:sz w:val="20"/>
          <w:szCs w:val="20"/>
        </w:rPr>
        <w:t xml:space="preserve"> </w:t>
      </w:r>
    </w:p>
    <w:p w14:paraId="7B155A1D" w14:textId="77777777" w:rsidR="00D4680E" w:rsidRDefault="00D4680E" w:rsidP="00D4680E">
      <w:pPr>
        <w:pStyle w:val="ListParagraph"/>
        <w:ind w:left="0" w:right="-144"/>
        <w:contextualSpacing w:val="0"/>
        <w:rPr>
          <w:bCs/>
        </w:rPr>
      </w:pPr>
    </w:p>
    <w:p w14:paraId="7D2EF9F3" w14:textId="0884ECBC" w:rsidR="00D4680E" w:rsidRPr="003F2593" w:rsidRDefault="00B7366A" w:rsidP="00AC36F5">
      <w:pPr>
        <w:pStyle w:val="ListParagraph"/>
        <w:tabs>
          <w:tab w:val="left" w:pos="709"/>
        </w:tabs>
        <w:ind w:left="0" w:right="-144"/>
        <w:contextualSpacing w:val="0"/>
        <w:jc w:val="both"/>
        <w:rPr>
          <w:rFonts w:ascii="Verdana" w:hAnsi="Verdana"/>
          <w:bCs/>
          <w:sz w:val="20"/>
          <w:szCs w:val="20"/>
        </w:rPr>
      </w:pPr>
      <w:r w:rsidRPr="003F2593">
        <w:rPr>
          <w:rFonts w:ascii="Verdana" w:hAnsi="Verdana"/>
          <w:bCs/>
          <w:sz w:val="20"/>
          <w:szCs w:val="20"/>
        </w:rPr>
        <w:t>138</w:t>
      </w:r>
      <w:r w:rsidR="00AC36F5" w:rsidRPr="003F2593">
        <w:rPr>
          <w:rFonts w:ascii="Verdana" w:hAnsi="Verdana"/>
          <w:bCs/>
          <w:sz w:val="20"/>
          <w:szCs w:val="20"/>
        </w:rPr>
        <w:t xml:space="preserve">. </w:t>
      </w:r>
      <w:r w:rsidR="00AC36F5" w:rsidRPr="003F2593">
        <w:rPr>
          <w:rFonts w:ascii="Verdana" w:hAnsi="Verdana"/>
          <w:bCs/>
          <w:sz w:val="20"/>
          <w:szCs w:val="20"/>
        </w:rPr>
        <w:tab/>
      </w:r>
      <w:r w:rsidR="00D4680E" w:rsidRPr="003F2593">
        <w:rPr>
          <w:rFonts w:ascii="Verdana" w:hAnsi="Verdana"/>
          <w:bCs/>
          <w:sz w:val="20"/>
          <w:szCs w:val="20"/>
        </w:rPr>
        <w:t xml:space="preserve">De lo </w:t>
      </w:r>
      <w:r w:rsidR="00AC36F5" w:rsidRPr="003F2593">
        <w:rPr>
          <w:rFonts w:ascii="Verdana" w:hAnsi="Verdana"/>
          <w:bCs/>
          <w:sz w:val="20"/>
          <w:szCs w:val="20"/>
        </w:rPr>
        <w:t>anterior se aprecia</w:t>
      </w:r>
      <w:r w:rsidR="00D4680E" w:rsidRPr="003F2593">
        <w:rPr>
          <w:rFonts w:ascii="Verdana" w:hAnsi="Verdana"/>
          <w:bCs/>
          <w:sz w:val="20"/>
          <w:szCs w:val="20"/>
        </w:rPr>
        <w:t xml:space="preserve"> que la Corte </w:t>
      </w:r>
      <w:r w:rsidR="00AC36F5" w:rsidRPr="003F2593">
        <w:rPr>
          <w:rFonts w:ascii="Verdana" w:hAnsi="Verdana"/>
          <w:bCs/>
          <w:sz w:val="20"/>
          <w:szCs w:val="20"/>
        </w:rPr>
        <w:t xml:space="preserve">IDH </w:t>
      </w:r>
      <w:r w:rsidR="00D4680E" w:rsidRPr="003F2593">
        <w:rPr>
          <w:rFonts w:ascii="Verdana" w:hAnsi="Verdana"/>
          <w:bCs/>
          <w:sz w:val="20"/>
          <w:szCs w:val="20"/>
        </w:rPr>
        <w:t xml:space="preserve">entendió que el perjuicio causado a las víctimas excedía aspectos meramente patrimoniales y se relacionaba con “otros derechos humanos”. Es sobre la base de esas consideraciones que el Tribunal </w:t>
      </w:r>
      <w:r w:rsidR="00A758B2">
        <w:rPr>
          <w:rFonts w:ascii="Verdana" w:hAnsi="Verdana"/>
          <w:bCs/>
          <w:sz w:val="20"/>
          <w:szCs w:val="20"/>
        </w:rPr>
        <w:t xml:space="preserve">Interamericano </w:t>
      </w:r>
      <w:r w:rsidR="00D4680E" w:rsidRPr="003F2593">
        <w:rPr>
          <w:rFonts w:ascii="Verdana" w:hAnsi="Verdana"/>
          <w:bCs/>
          <w:sz w:val="20"/>
          <w:szCs w:val="20"/>
        </w:rPr>
        <w:t xml:space="preserve">haya considerado que “se entiende cabalmente” el deber de protección respecto de los bienes. </w:t>
      </w:r>
      <w:r w:rsidR="00A758B2">
        <w:rPr>
          <w:rFonts w:ascii="Verdana" w:hAnsi="Verdana"/>
          <w:bCs/>
          <w:sz w:val="20"/>
          <w:szCs w:val="20"/>
        </w:rPr>
        <w:t xml:space="preserve">Es precisamente </w:t>
      </w:r>
      <w:r w:rsidR="00D4680E" w:rsidRPr="003F2593">
        <w:rPr>
          <w:rFonts w:ascii="Verdana" w:hAnsi="Verdana"/>
          <w:bCs/>
          <w:sz w:val="20"/>
          <w:szCs w:val="20"/>
        </w:rPr>
        <w:t xml:space="preserve">por tales motivos que considero que </w:t>
      </w:r>
      <w:r w:rsidR="00AC36F5" w:rsidRPr="003F2593">
        <w:rPr>
          <w:rFonts w:ascii="Verdana" w:hAnsi="Verdana"/>
          <w:bCs/>
          <w:sz w:val="20"/>
          <w:szCs w:val="20"/>
        </w:rPr>
        <w:t>se debió ir más allá</w:t>
      </w:r>
      <w:r w:rsidR="00A758B2">
        <w:rPr>
          <w:rFonts w:ascii="Verdana" w:hAnsi="Verdana"/>
          <w:bCs/>
          <w:sz w:val="20"/>
          <w:szCs w:val="20"/>
        </w:rPr>
        <w:t>, ampliando las</w:t>
      </w:r>
      <w:r w:rsidR="00D4680E" w:rsidRPr="003F2593">
        <w:rPr>
          <w:rFonts w:ascii="Verdana" w:hAnsi="Verdana"/>
          <w:bCs/>
          <w:sz w:val="20"/>
          <w:szCs w:val="20"/>
        </w:rPr>
        <w:t xml:space="preserve"> consideraciones en cuanto a la afec</w:t>
      </w:r>
      <w:r w:rsidR="00AC36F5" w:rsidRPr="003F2593">
        <w:rPr>
          <w:rFonts w:ascii="Verdana" w:hAnsi="Verdana"/>
          <w:bCs/>
          <w:sz w:val="20"/>
          <w:szCs w:val="20"/>
        </w:rPr>
        <w:t>tación al derecho a la vivienda, lo cual hubiese sido posible si se declarara la violación de manera autónoma vía artículo 26 de la Convención Americana.</w:t>
      </w:r>
      <w:r w:rsidR="00D4680E" w:rsidRPr="003F2593">
        <w:rPr>
          <w:rFonts w:ascii="Verdana" w:hAnsi="Verdana"/>
          <w:bCs/>
          <w:sz w:val="20"/>
          <w:szCs w:val="20"/>
        </w:rPr>
        <w:t xml:space="preserve"> </w:t>
      </w:r>
    </w:p>
    <w:p w14:paraId="49C635A2" w14:textId="77777777" w:rsidR="00D4680E" w:rsidRPr="003F2593" w:rsidRDefault="00D4680E" w:rsidP="00D4680E">
      <w:pPr>
        <w:pStyle w:val="ListParagraph"/>
        <w:ind w:left="0" w:right="-144"/>
        <w:contextualSpacing w:val="0"/>
        <w:rPr>
          <w:rFonts w:ascii="Verdana" w:hAnsi="Verdana"/>
          <w:bCs/>
          <w:sz w:val="20"/>
          <w:szCs w:val="20"/>
        </w:rPr>
      </w:pPr>
    </w:p>
    <w:p w14:paraId="54046570" w14:textId="66FFF969" w:rsidR="00D4680E" w:rsidRPr="0070163D" w:rsidRDefault="00B7366A" w:rsidP="00AC36F5">
      <w:pPr>
        <w:pStyle w:val="ListParagraph"/>
        <w:ind w:left="0" w:right="-144"/>
        <w:contextualSpacing w:val="0"/>
        <w:jc w:val="both"/>
        <w:rPr>
          <w:rFonts w:ascii="Verdana" w:hAnsi="Verdana"/>
          <w:bCs/>
          <w:sz w:val="20"/>
          <w:szCs w:val="20"/>
        </w:rPr>
      </w:pPr>
      <w:r w:rsidRPr="003F2593">
        <w:rPr>
          <w:rFonts w:ascii="Verdana" w:hAnsi="Verdana"/>
          <w:bCs/>
          <w:sz w:val="20"/>
          <w:szCs w:val="20"/>
        </w:rPr>
        <w:t>139</w:t>
      </w:r>
      <w:r w:rsidR="00AC36F5" w:rsidRPr="003F2593">
        <w:rPr>
          <w:rFonts w:ascii="Verdana" w:hAnsi="Verdana"/>
          <w:bCs/>
          <w:sz w:val="20"/>
          <w:szCs w:val="20"/>
        </w:rPr>
        <w:t xml:space="preserve">. </w:t>
      </w:r>
      <w:r w:rsidR="00AC36F5" w:rsidRPr="003F2593">
        <w:rPr>
          <w:rFonts w:ascii="Verdana" w:hAnsi="Verdana"/>
          <w:bCs/>
          <w:sz w:val="20"/>
          <w:szCs w:val="20"/>
        </w:rPr>
        <w:tab/>
      </w:r>
      <w:r w:rsidR="00D4680E" w:rsidRPr="003F2593">
        <w:rPr>
          <w:rFonts w:ascii="Verdana" w:hAnsi="Verdana"/>
          <w:bCs/>
          <w:sz w:val="20"/>
          <w:szCs w:val="20"/>
        </w:rPr>
        <w:t xml:space="preserve">El presente caso debe examinarse a partir de deberes que se desprenden de la obligación de </w:t>
      </w:r>
      <w:r w:rsidR="00AC36F5" w:rsidRPr="003F2593">
        <w:rPr>
          <w:rFonts w:ascii="Verdana" w:hAnsi="Verdana"/>
          <w:bCs/>
          <w:sz w:val="20"/>
          <w:szCs w:val="20"/>
        </w:rPr>
        <w:t xml:space="preserve">respeto y </w:t>
      </w:r>
      <w:r w:rsidR="00D4680E" w:rsidRPr="003F2593">
        <w:rPr>
          <w:rFonts w:ascii="Verdana" w:hAnsi="Verdana"/>
          <w:bCs/>
          <w:sz w:val="20"/>
          <w:szCs w:val="20"/>
        </w:rPr>
        <w:t xml:space="preserve">garantía establecida en el artículo 1.1, y que coinciden, sustancialmente, con los deberes de protección y cumplimiento </w:t>
      </w:r>
      <w:proofErr w:type="gramStart"/>
      <w:r w:rsidR="00D4680E" w:rsidRPr="003F2593">
        <w:rPr>
          <w:rFonts w:ascii="Verdana" w:hAnsi="Verdana"/>
          <w:bCs/>
          <w:sz w:val="20"/>
          <w:szCs w:val="20"/>
        </w:rPr>
        <w:t>del derecho</w:t>
      </w:r>
      <w:proofErr w:type="gramEnd"/>
      <w:r w:rsidR="00D4680E" w:rsidRPr="003F2593">
        <w:rPr>
          <w:rFonts w:ascii="Verdana" w:hAnsi="Verdana"/>
          <w:bCs/>
          <w:sz w:val="20"/>
          <w:szCs w:val="20"/>
        </w:rPr>
        <w:t xml:space="preserve"> referidos por el Comité D</w:t>
      </w:r>
      <w:r w:rsidR="00AC36F5" w:rsidRPr="003F2593">
        <w:rPr>
          <w:rFonts w:ascii="Verdana" w:hAnsi="Verdana"/>
          <w:bCs/>
          <w:sz w:val="20"/>
          <w:szCs w:val="20"/>
        </w:rPr>
        <w:t>ESC en los términos ya analizados</w:t>
      </w:r>
      <w:r w:rsidR="00D4680E" w:rsidRPr="003F2593">
        <w:rPr>
          <w:rFonts w:ascii="Verdana" w:hAnsi="Verdana"/>
          <w:bCs/>
          <w:sz w:val="20"/>
          <w:szCs w:val="20"/>
        </w:rPr>
        <w:t xml:space="preserve">. La Corte </w:t>
      </w:r>
      <w:r w:rsidR="00AC36F5" w:rsidRPr="003F2593">
        <w:rPr>
          <w:rFonts w:ascii="Verdana" w:hAnsi="Verdana"/>
          <w:bCs/>
          <w:sz w:val="20"/>
          <w:szCs w:val="20"/>
        </w:rPr>
        <w:t xml:space="preserve">IDH </w:t>
      </w:r>
      <w:r w:rsidR="00D4680E" w:rsidRPr="003F2593">
        <w:rPr>
          <w:rFonts w:ascii="Verdana" w:hAnsi="Verdana"/>
          <w:bCs/>
          <w:sz w:val="20"/>
          <w:szCs w:val="20"/>
        </w:rPr>
        <w:t xml:space="preserve">concluyó que el Estado no había </w:t>
      </w:r>
      <w:r w:rsidR="00D4680E" w:rsidRPr="003F2593">
        <w:rPr>
          <w:rFonts w:ascii="Verdana" w:hAnsi="Verdana"/>
          <w:sz w:val="20"/>
          <w:szCs w:val="20"/>
        </w:rPr>
        <w:t xml:space="preserve">adoptado medidas necesarias para “proteger” los bienes de las presuntas víctimas, y que no les “facilitó” mecanismos para la obtención de una </w:t>
      </w:r>
      <w:r w:rsidR="00D4680E" w:rsidRPr="003F2593">
        <w:rPr>
          <w:rFonts w:ascii="Verdana" w:hAnsi="Verdana"/>
          <w:i/>
          <w:sz w:val="20"/>
          <w:szCs w:val="20"/>
        </w:rPr>
        <w:t>vivienda adecuada</w:t>
      </w:r>
      <w:r w:rsidR="00D4680E" w:rsidRPr="003F2593">
        <w:rPr>
          <w:rStyle w:val="FootnoteReference"/>
          <w:rFonts w:ascii="Verdana" w:hAnsi="Verdana"/>
          <w:sz w:val="20"/>
          <w:szCs w:val="20"/>
        </w:rPr>
        <w:footnoteReference w:id="159"/>
      </w:r>
      <w:r w:rsidR="00D4680E" w:rsidRPr="003F2593">
        <w:rPr>
          <w:rFonts w:ascii="Verdana" w:hAnsi="Verdana"/>
          <w:sz w:val="20"/>
          <w:szCs w:val="20"/>
        </w:rPr>
        <w:t xml:space="preserve">, por lo que entendió incumplido el deber de garantía en relación con el derecho a la propiedad, </w:t>
      </w:r>
      <w:r w:rsidR="00AC36F5" w:rsidRPr="003F2593">
        <w:rPr>
          <w:rFonts w:ascii="Verdana" w:hAnsi="Verdana"/>
          <w:sz w:val="20"/>
          <w:szCs w:val="20"/>
        </w:rPr>
        <w:t xml:space="preserve">previsto </w:t>
      </w:r>
      <w:r w:rsidR="00D4680E" w:rsidRPr="003F2593">
        <w:rPr>
          <w:rFonts w:ascii="Verdana" w:hAnsi="Verdana"/>
          <w:sz w:val="20"/>
          <w:szCs w:val="20"/>
        </w:rPr>
        <w:t>en el artículo 21 del Pacto de San José. El mismo examen era válid</w:t>
      </w:r>
      <w:r w:rsidR="00AC36F5" w:rsidRPr="003F2593">
        <w:rPr>
          <w:rFonts w:ascii="Verdana" w:hAnsi="Verdana"/>
          <w:sz w:val="20"/>
          <w:szCs w:val="20"/>
        </w:rPr>
        <w:t>o para el derecho a la vivienda, lo que hubiera permitido al Tribunal Interamericano profundizar los alcances y contenido de este derecho.</w:t>
      </w:r>
    </w:p>
    <w:p w14:paraId="47B44E82" w14:textId="77777777" w:rsidR="00D4680E" w:rsidRDefault="00D4680E" w:rsidP="00D4680E">
      <w:pPr>
        <w:pStyle w:val="ListParagraph"/>
        <w:autoSpaceDE w:val="0"/>
        <w:autoSpaceDN w:val="0"/>
        <w:adjustRightInd w:val="0"/>
        <w:ind w:left="0" w:right="-144"/>
        <w:contextualSpacing w:val="0"/>
        <w:rPr>
          <w:szCs w:val="20"/>
        </w:rPr>
      </w:pPr>
    </w:p>
    <w:p w14:paraId="6B349C61" w14:textId="320DA3DB" w:rsidR="00D4680E" w:rsidRDefault="0070163D" w:rsidP="00AC36F5">
      <w:pPr>
        <w:pStyle w:val="ListParagraph"/>
        <w:autoSpaceDE w:val="0"/>
        <w:autoSpaceDN w:val="0"/>
        <w:adjustRightInd w:val="0"/>
        <w:ind w:left="0" w:right="-144"/>
        <w:contextualSpacing w:val="0"/>
        <w:jc w:val="both"/>
        <w:rPr>
          <w:rFonts w:ascii="Verdana" w:hAnsi="Verdana"/>
          <w:sz w:val="20"/>
          <w:szCs w:val="20"/>
        </w:rPr>
      </w:pPr>
      <w:r>
        <w:rPr>
          <w:rFonts w:ascii="Verdana" w:hAnsi="Verdana"/>
          <w:sz w:val="20"/>
          <w:szCs w:val="20"/>
        </w:rPr>
        <w:t>140</w:t>
      </w:r>
      <w:r w:rsidR="00AC36F5" w:rsidRPr="003F2593">
        <w:rPr>
          <w:rFonts w:ascii="Verdana" w:hAnsi="Verdana"/>
          <w:sz w:val="20"/>
          <w:szCs w:val="20"/>
        </w:rPr>
        <w:t xml:space="preserve">. </w:t>
      </w:r>
      <w:r w:rsidR="00AC36F5" w:rsidRPr="003F2593">
        <w:rPr>
          <w:rFonts w:ascii="Verdana" w:hAnsi="Verdana"/>
          <w:sz w:val="20"/>
          <w:szCs w:val="20"/>
        </w:rPr>
        <w:tab/>
        <w:t>En ese marco, resultaba tambié</w:t>
      </w:r>
      <w:r w:rsidR="00D4680E" w:rsidRPr="003F2593">
        <w:rPr>
          <w:rFonts w:ascii="Verdana" w:hAnsi="Verdana"/>
          <w:sz w:val="20"/>
          <w:szCs w:val="20"/>
        </w:rPr>
        <w:t xml:space="preserve">n pertinente considerar, en relación con el derecho a la vivienda, las pautas referidas aplicables a situaciones de desplazamiento forzado, que indican, </w:t>
      </w:r>
      <w:r w:rsidR="00D4680E" w:rsidRPr="003F2593">
        <w:rPr>
          <w:rFonts w:ascii="Verdana" w:hAnsi="Verdana"/>
          <w:i/>
          <w:sz w:val="20"/>
          <w:szCs w:val="20"/>
        </w:rPr>
        <w:t xml:space="preserve">inter </w:t>
      </w:r>
      <w:proofErr w:type="spellStart"/>
      <w:r w:rsidR="00D4680E" w:rsidRPr="003F2593">
        <w:rPr>
          <w:rFonts w:ascii="Verdana" w:hAnsi="Verdana"/>
          <w:i/>
          <w:sz w:val="20"/>
          <w:szCs w:val="20"/>
        </w:rPr>
        <w:t>alia</w:t>
      </w:r>
      <w:proofErr w:type="spellEnd"/>
      <w:r w:rsidR="00D4680E" w:rsidRPr="003F2593">
        <w:rPr>
          <w:rFonts w:ascii="Verdana" w:hAnsi="Verdana"/>
          <w:sz w:val="20"/>
          <w:szCs w:val="20"/>
        </w:rPr>
        <w:t>, el derecho al “nivel de vida adecuado” y el “derecho a una vivienda adecuada” de las personas desplazadas, así como los deberes de los Estados de proteger de la destrucción, la apropiación, la ocupación o el uso arbitrario e ilegal a la propiedad y posesiones que los desplazados internos hubieran abandonado; de “adoptar medidas positivas para mejorar la situación de los […]y desplazados que no tienen viviendas adecuadas”</w:t>
      </w:r>
      <w:r w:rsidR="00A758B2" w:rsidRPr="00A758B2">
        <w:rPr>
          <w:rStyle w:val="FootnoteReference"/>
          <w:rFonts w:ascii="Verdana" w:hAnsi="Verdana"/>
          <w:sz w:val="20"/>
          <w:szCs w:val="20"/>
        </w:rPr>
        <w:t xml:space="preserve"> </w:t>
      </w:r>
      <w:r w:rsidR="00A758B2" w:rsidRPr="00813000">
        <w:rPr>
          <w:rStyle w:val="FootnoteReference"/>
          <w:rFonts w:ascii="Verdana" w:hAnsi="Verdana"/>
          <w:sz w:val="20"/>
          <w:szCs w:val="20"/>
        </w:rPr>
        <w:footnoteReference w:id="160"/>
      </w:r>
      <w:r w:rsidR="00A758B2" w:rsidRPr="00813000">
        <w:rPr>
          <w:rFonts w:ascii="Verdana" w:hAnsi="Verdana"/>
          <w:sz w:val="20"/>
          <w:szCs w:val="20"/>
        </w:rPr>
        <w:t>.</w:t>
      </w:r>
    </w:p>
    <w:p w14:paraId="1E3C1B2A" w14:textId="77777777" w:rsidR="00F86445" w:rsidRDefault="00F86445" w:rsidP="00AC36F5">
      <w:pPr>
        <w:pStyle w:val="ListParagraph"/>
        <w:autoSpaceDE w:val="0"/>
        <w:autoSpaceDN w:val="0"/>
        <w:adjustRightInd w:val="0"/>
        <w:ind w:left="0" w:right="-144"/>
        <w:contextualSpacing w:val="0"/>
        <w:jc w:val="both"/>
        <w:rPr>
          <w:rFonts w:ascii="Verdana" w:hAnsi="Verdana"/>
          <w:sz w:val="20"/>
          <w:szCs w:val="20"/>
        </w:rPr>
      </w:pPr>
    </w:p>
    <w:p w14:paraId="0FE1221D" w14:textId="29599050" w:rsidR="00F86445" w:rsidRPr="003F2593" w:rsidRDefault="00F86445" w:rsidP="00F86445">
      <w:pPr>
        <w:pStyle w:val="ListParagraph"/>
        <w:autoSpaceDE w:val="0"/>
        <w:autoSpaceDN w:val="0"/>
        <w:adjustRightInd w:val="0"/>
        <w:ind w:left="0" w:right="-144"/>
        <w:contextualSpacing w:val="0"/>
        <w:jc w:val="both"/>
        <w:rPr>
          <w:rFonts w:ascii="Verdana" w:hAnsi="Verdana"/>
          <w:sz w:val="20"/>
          <w:szCs w:val="20"/>
        </w:rPr>
      </w:pPr>
      <w:r w:rsidRPr="00B61E49">
        <w:rPr>
          <w:rFonts w:ascii="Verdana" w:hAnsi="Verdana"/>
          <w:sz w:val="20"/>
          <w:szCs w:val="20"/>
        </w:rPr>
        <w:lastRenderedPageBreak/>
        <w:t>141.</w:t>
      </w:r>
      <w:r w:rsidRPr="00B61E49">
        <w:rPr>
          <w:rFonts w:ascii="Verdana" w:hAnsi="Verdana"/>
          <w:sz w:val="20"/>
          <w:szCs w:val="20"/>
        </w:rPr>
        <w:tab/>
        <w:t xml:space="preserve">Lo anterior permite entender mejor la decisión del Tribunal Interamericano. Recuérdese que, como consta en </w:t>
      </w:r>
      <w:r w:rsidRPr="008757AC">
        <w:rPr>
          <w:rFonts w:ascii="Verdana" w:hAnsi="Verdana"/>
          <w:sz w:val="20"/>
          <w:szCs w:val="20"/>
        </w:rPr>
        <w:t>el párrafo 21</w:t>
      </w:r>
      <w:r w:rsidR="00061BEF">
        <w:rPr>
          <w:rFonts w:ascii="Verdana" w:hAnsi="Verdana"/>
          <w:sz w:val="20"/>
          <w:szCs w:val="20"/>
        </w:rPr>
        <w:t>3</w:t>
      </w:r>
      <w:r w:rsidRPr="008757AC">
        <w:rPr>
          <w:rFonts w:ascii="Verdana" w:hAnsi="Verdana"/>
          <w:sz w:val="20"/>
          <w:szCs w:val="20"/>
        </w:rPr>
        <w:t xml:space="preserve"> de la Sentencia, el Estado argumentó que “resulta ser una carga desmedida el exigir […] protección</w:t>
      </w:r>
      <w:r w:rsidRPr="00B61E49">
        <w:rPr>
          <w:rFonts w:ascii="Verdana" w:hAnsi="Verdana"/>
          <w:sz w:val="20"/>
          <w:szCs w:val="20"/>
        </w:rPr>
        <w:t xml:space="preserve"> [de los inmuebles], considerando la</w:t>
      </w:r>
      <w:r w:rsidR="00B61E49" w:rsidRPr="00B61E49">
        <w:rPr>
          <w:rFonts w:ascii="Verdana" w:hAnsi="Verdana"/>
          <w:sz w:val="20"/>
          <w:szCs w:val="20"/>
        </w:rPr>
        <w:t xml:space="preserve"> época de los hechos”</w:t>
      </w:r>
      <w:r w:rsidR="007E6FF8">
        <w:rPr>
          <w:rStyle w:val="FootnoteReference"/>
          <w:rFonts w:ascii="Verdana" w:hAnsi="Verdana"/>
          <w:sz w:val="20"/>
          <w:szCs w:val="20"/>
        </w:rPr>
        <w:footnoteReference w:id="161"/>
      </w:r>
      <w:r w:rsidR="00B61E49" w:rsidRPr="00B61E49">
        <w:rPr>
          <w:rFonts w:ascii="Verdana" w:hAnsi="Verdana"/>
          <w:sz w:val="20"/>
          <w:szCs w:val="20"/>
        </w:rPr>
        <w:t>. Ahora bien</w:t>
      </w:r>
      <w:r w:rsidRPr="00B61E49">
        <w:rPr>
          <w:rFonts w:ascii="Verdana" w:hAnsi="Verdana"/>
          <w:sz w:val="20"/>
          <w:szCs w:val="20"/>
        </w:rPr>
        <w:t>, dados los derechos en juego, no exclusivamente de propiedad o patrimoniales, y dada la particular situación de vulnerabilidad de las personas afectadas, surgen deberes específicos del Estado para proteger dichas personas y derechos, que no sólo no pueden ser eximidos en virtud de una situación contextual de dificultad, sino que, por el contrario, adquieren en la misma pertinencia y especial relevancia.</w:t>
      </w:r>
      <w:r>
        <w:rPr>
          <w:rFonts w:ascii="Verdana" w:hAnsi="Verdana"/>
          <w:sz w:val="20"/>
          <w:szCs w:val="20"/>
        </w:rPr>
        <w:t xml:space="preserve">   </w:t>
      </w:r>
    </w:p>
    <w:p w14:paraId="5C601632" w14:textId="77777777" w:rsidR="00D4680E" w:rsidRPr="003F2593" w:rsidRDefault="00D4680E" w:rsidP="00D4680E">
      <w:pPr>
        <w:pStyle w:val="ListParagraph"/>
        <w:autoSpaceDE w:val="0"/>
        <w:autoSpaceDN w:val="0"/>
        <w:adjustRightInd w:val="0"/>
        <w:ind w:left="0" w:right="-144"/>
        <w:contextualSpacing w:val="0"/>
        <w:rPr>
          <w:rFonts w:ascii="Verdana" w:hAnsi="Verdana"/>
          <w:sz w:val="20"/>
          <w:szCs w:val="20"/>
        </w:rPr>
      </w:pPr>
    </w:p>
    <w:p w14:paraId="5AD53A79" w14:textId="07824ABF" w:rsidR="00B61E49" w:rsidRPr="00B61E49" w:rsidRDefault="00F86445" w:rsidP="00B61E49">
      <w:pPr>
        <w:pStyle w:val="ListParagraph"/>
        <w:autoSpaceDE w:val="0"/>
        <w:autoSpaceDN w:val="0"/>
        <w:adjustRightInd w:val="0"/>
        <w:ind w:left="0" w:right="-144"/>
        <w:contextualSpacing w:val="0"/>
        <w:jc w:val="both"/>
        <w:rPr>
          <w:rFonts w:ascii="Verdana" w:hAnsi="Verdana"/>
          <w:sz w:val="20"/>
          <w:szCs w:val="20"/>
        </w:rPr>
      </w:pPr>
      <w:r>
        <w:rPr>
          <w:rFonts w:ascii="Verdana" w:hAnsi="Verdana"/>
          <w:sz w:val="20"/>
          <w:szCs w:val="20"/>
        </w:rPr>
        <w:t>142</w:t>
      </w:r>
      <w:r w:rsidR="00AC36F5" w:rsidRPr="003F2593">
        <w:rPr>
          <w:rFonts w:ascii="Verdana" w:hAnsi="Verdana"/>
          <w:sz w:val="20"/>
          <w:szCs w:val="20"/>
        </w:rPr>
        <w:t xml:space="preserve">. </w:t>
      </w:r>
      <w:r w:rsidR="00AC36F5" w:rsidRPr="003F2593">
        <w:rPr>
          <w:rFonts w:ascii="Verdana" w:hAnsi="Verdana"/>
          <w:sz w:val="20"/>
          <w:szCs w:val="20"/>
        </w:rPr>
        <w:tab/>
      </w:r>
      <w:r w:rsidR="00D4680E" w:rsidRPr="003F2593">
        <w:rPr>
          <w:rFonts w:ascii="Verdana" w:hAnsi="Verdana"/>
          <w:sz w:val="20"/>
          <w:szCs w:val="20"/>
        </w:rPr>
        <w:t xml:space="preserve">En definitiva, por lo </w:t>
      </w:r>
      <w:r>
        <w:rPr>
          <w:rFonts w:ascii="Verdana" w:hAnsi="Verdana"/>
          <w:sz w:val="20"/>
          <w:szCs w:val="20"/>
        </w:rPr>
        <w:t>dicho</w:t>
      </w:r>
      <w:r w:rsidR="00D4680E" w:rsidRPr="003F2593">
        <w:rPr>
          <w:rFonts w:ascii="Verdana" w:hAnsi="Verdana"/>
          <w:sz w:val="20"/>
          <w:szCs w:val="20"/>
        </w:rPr>
        <w:t xml:space="preserve">, entiendo que en las circunstancias del caso los derechos a la propiedad privada y a la vivienda se vieron vulnerados por la misma omisión estatal en efectuar, en observancia del deber de garantía, acciones para proteger las viviendas de las víctimas y facilitar el acceso a mecanismos que posibilitaran la obtención de una vivienda adecuada. </w:t>
      </w:r>
    </w:p>
    <w:p w14:paraId="4223FA2D" w14:textId="77777777" w:rsidR="005D30B3" w:rsidRDefault="005D30B3" w:rsidP="00790894">
      <w:pPr>
        <w:pStyle w:val="ListParagraph"/>
        <w:widowControl w:val="0"/>
        <w:autoSpaceDE w:val="0"/>
        <w:autoSpaceDN w:val="0"/>
        <w:adjustRightInd w:val="0"/>
        <w:ind w:left="0"/>
        <w:rPr>
          <w:rFonts w:ascii="Verdana" w:hAnsi="Verdana" w:cs="Times New Roman"/>
          <w:b/>
          <w:sz w:val="20"/>
          <w:szCs w:val="20"/>
        </w:rPr>
      </w:pPr>
    </w:p>
    <w:p w14:paraId="79417952" w14:textId="77777777" w:rsidR="005D30B3" w:rsidRPr="00A14C83" w:rsidRDefault="005D30B3" w:rsidP="00790894">
      <w:pPr>
        <w:pStyle w:val="ListParagraph"/>
        <w:widowControl w:val="0"/>
        <w:autoSpaceDE w:val="0"/>
        <w:autoSpaceDN w:val="0"/>
        <w:adjustRightInd w:val="0"/>
        <w:ind w:left="0"/>
        <w:rPr>
          <w:rFonts w:ascii="Verdana" w:hAnsi="Verdana" w:cs="Times New Roman"/>
          <w:b/>
          <w:sz w:val="20"/>
          <w:szCs w:val="20"/>
        </w:rPr>
      </w:pPr>
    </w:p>
    <w:p w14:paraId="6182C8B1" w14:textId="01A598FD" w:rsidR="00FC18CD" w:rsidRPr="00187189" w:rsidRDefault="00790894" w:rsidP="00B95968">
      <w:pPr>
        <w:pStyle w:val="ListParagraph"/>
        <w:widowControl w:val="0"/>
        <w:autoSpaceDE w:val="0"/>
        <w:autoSpaceDN w:val="0"/>
        <w:adjustRightInd w:val="0"/>
        <w:ind w:left="0"/>
        <w:jc w:val="center"/>
        <w:rPr>
          <w:rFonts w:ascii="Verdana" w:hAnsi="Verdana" w:cs="Times New Roman"/>
          <w:sz w:val="20"/>
          <w:szCs w:val="20"/>
        </w:rPr>
      </w:pPr>
      <w:r w:rsidRPr="00187189">
        <w:rPr>
          <w:rFonts w:ascii="Verdana" w:hAnsi="Verdana" w:cs="Times New Roman"/>
          <w:sz w:val="20"/>
          <w:szCs w:val="20"/>
        </w:rPr>
        <w:t xml:space="preserve">VI. </w:t>
      </w:r>
      <w:r w:rsidR="00FC18CD" w:rsidRPr="00187189">
        <w:rPr>
          <w:rFonts w:ascii="Verdana" w:hAnsi="Verdana" w:cs="Times New Roman"/>
          <w:sz w:val="20"/>
          <w:szCs w:val="20"/>
        </w:rPr>
        <w:t>CONCLUSIONES</w:t>
      </w:r>
    </w:p>
    <w:p w14:paraId="53F78EA0" w14:textId="50B38572" w:rsidR="000C7332" w:rsidRDefault="000C7332" w:rsidP="00454C7F">
      <w:pPr>
        <w:pStyle w:val="ListParagraph"/>
        <w:widowControl w:val="0"/>
        <w:autoSpaceDE w:val="0"/>
        <w:autoSpaceDN w:val="0"/>
        <w:adjustRightInd w:val="0"/>
        <w:ind w:left="0"/>
        <w:jc w:val="both"/>
        <w:rPr>
          <w:rFonts w:ascii="Verdana" w:hAnsi="Verdana" w:cs="Times New Roman"/>
          <w:sz w:val="20"/>
          <w:szCs w:val="20"/>
        </w:rPr>
      </w:pPr>
    </w:p>
    <w:p w14:paraId="2B7D1B8F" w14:textId="6077BC7D" w:rsidR="00DF73A2" w:rsidRPr="005A4DF1" w:rsidRDefault="0070163D" w:rsidP="00DF73A2">
      <w:pPr>
        <w:pStyle w:val="ListParagraph"/>
        <w:ind w:left="0"/>
        <w:jc w:val="both"/>
        <w:rPr>
          <w:rFonts w:ascii="Verdana" w:hAnsi="Verdana"/>
          <w:b/>
          <w:i/>
          <w:sz w:val="20"/>
          <w:szCs w:val="20"/>
        </w:rPr>
      </w:pPr>
      <w:r>
        <w:rPr>
          <w:rFonts w:ascii="Verdana" w:hAnsi="Verdana"/>
          <w:sz w:val="20"/>
          <w:szCs w:val="20"/>
        </w:rPr>
        <w:t>143</w:t>
      </w:r>
      <w:r w:rsidR="00B95968" w:rsidRPr="005A4DF1">
        <w:rPr>
          <w:rFonts w:ascii="Verdana" w:hAnsi="Verdana"/>
          <w:sz w:val="20"/>
          <w:szCs w:val="20"/>
        </w:rPr>
        <w:t xml:space="preserve">. </w:t>
      </w:r>
      <w:r w:rsidR="00B95968" w:rsidRPr="005A4DF1">
        <w:rPr>
          <w:rFonts w:ascii="Verdana" w:hAnsi="Verdana"/>
          <w:sz w:val="20"/>
          <w:szCs w:val="20"/>
        </w:rPr>
        <w:tab/>
      </w:r>
      <w:r w:rsidR="00DF73A2" w:rsidRPr="005A4DF1">
        <w:rPr>
          <w:rFonts w:ascii="Verdana" w:hAnsi="Verdana"/>
          <w:sz w:val="20"/>
          <w:szCs w:val="20"/>
        </w:rPr>
        <w:t xml:space="preserve">En suma, el </w:t>
      </w:r>
      <w:r w:rsidR="00DF73A2" w:rsidRPr="005A4DF1">
        <w:rPr>
          <w:rFonts w:ascii="Verdana" w:hAnsi="Verdana"/>
          <w:i/>
          <w:sz w:val="20"/>
          <w:szCs w:val="20"/>
        </w:rPr>
        <w:t>derecho a la vivienda</w:t>
      </w:r>
      <w:r w:rsidR="00DF73A2" w:rsidRPr="005A4DF1">
        <w:rPr>
          <w:rFonts w:ascii="Verdana" w:hAnsi="Verdana"/>
          <w:sz w:val="20"/>
          <w:szCs w:val="20"/>
        </w:rPr>
        <w:t xml:space="preserve"> </w:t>
      </w:r>
      <w:r w:rsidR="00790894">
        <w:rPr>
          <w:rFonts w:ascii="Verdana" w:hAnsi="Verdana"/>
          <w:sz w:val="20"/>
          <w:szCs w:val="20"/>
        </w:rPr>
        <w:t xml:space="preserve">me </w:t>
      </w:r>
      <w:r w:rsidR="00DF73A2" w:rsidRPr="005A4DF1">
        <w:rPr>
          <w:rFonts w:ascii="Verdana" w:hAnsi="Verdana"/>
          <w:sz w:val="20"/>
          <w:szCs w:val="20"/>
        </w:rPr>
        <w:t xml:space="preserve">resulta de especial preocupación en nuestro sistema de protección de derechos humanos pues parece haber sido olvidado </w:t>
      </w:r>
      <w:r w:rsidR="00DF73A2">
        <w:rPr>
          <w:rFonts w:ascii="Verdana" w:hAnsi="Verdana"/>
          <w:sz w:val="20"/>
          <w:szCs w:val="20"/>
        </w:rPr>
        <w:t xml:space="preserve">en el Protocolo de San Salvador y en cierto sentido </w:t>
      </w:r>
      <w:r w:rsidR="00DF73A2" w:rsidRPr="005A4DF1">
        <w:rPr>
          <w:rFonts w:ascii="Verdana" w:hAnsi="Verdana"/>
          <w:sz w:val="20"/>
          <w:szCs w:val="20"/>
        </w:rPr>
        <w:t xml:space="preserve">en la propia discusión y debate que se ha suscitado en torno a los derechos sociales; sin embargo, su vinculación no ha sido del todo desapercibida en la jurisprudencia de la Corte IDH, aunque no ha sido profundizada ni delimitada con mayor rigurosidad, ya que la protección por la vía de la conexidad con otros derechos no lo permite.  </w:t>
      </w:r>
    </w:p>
    <w:p w14:paraId="799700D5" w14:textId="77777777" w:rsidR="00DF73A2" w:rsidRDefault="00DF73A2" w:rsidP="00B95968">
      <w:pPr>
        <w:pStyle w:val="ListParagraph"/>
        <w:ind w:left="0"/>
        <w:jc w:val="both"/>
        <w:rPr>
          <w:rFonts w:ascii="Verdana" w:hAnsi="Verdana" w:cs="Times New Roman"/>
          <w:sz w:val="20"/>
          <w:szCs w:val="20"/>
        </w:rPr>
      </w:pPr>
    </w:p>
    <w:p w14:paraId="1F4AC874" w14:textId="133E2A38" w:rsidR="00D878FE" w:rsidRDefault="0070163D" w:rsidP="00D878FE">
      <w:pPr>
        <w:pStyle w:val="ListParagraph"/>
        <w:ind w:left="0"/>
        <w:jc w:val="both"/>
        <w:rPr>
          <w:rFonts w:ascii="Verdana" w:hAnsi="Verdana"/>
          <w:sz w:val="20"/>
          <w:szCs w:val="20"/>
        </w:rPr>
      </w:pPr>
      <w:r>
        <w:rPr>
          <w:rFonts w:ascii="Verdana" w:hAnsi="Verdana" w:cs="Times New Roman"/>
          <w:sz w:val="20"/>
          <w:szCs w:val="20"/>
        </w:rPr>
        <w:t>144</w:t>
      </w:r>
      <w:r w:rsidR="00DF73A2">
        <w:rPr>
          <w:rFonts w:ascii="Verdana" w:hAnsi="Verdana" w:cs="Times New Roman"/>
          <w:sz w:val="20"/>
          <w:szCs w:val="20"/>
        </w:rPr>
        <w:t xml:space="preserve">. </w:t>
      </w:r>
      <w:r w:rsidR="00DF73A2">
        <w:rPr>
          <w:rFonts w:ascii="Verdana" w:hAnsi="Verdana" w:cs="Times New Roman"/>
          <w:sz w:val="20"/>
          <w:szCs w:val="20"/>
        </w:rPr>
        <w:tab/>
      </w:r>
      <w:r w:rsidR="00DF73A2" w:rsidRPr="005A4DF1">
        <w:rPr>
          <w:rFonts w:ascii="Verdana" w:hAnsi="Verdana" w:cs="Times New Roman"/>
          <w:sz w:val="20"/>
          <w:szCs w:val="20"/>
        </w:rPr>
        <w:t xml:space="preserve">En el presente voto he tratado de visualizar </w:t>
      </w:r>
      <w:r w:rsidR="00DF73A2">
        <w:rPr>
          <w:rFonts w:ascii="Verdana" w:hAnsi="Verdana" w:cs="Times New Roman"/>
          <w:sz w:val="20"/>
          <w:szCs w:val="20"/>
        </w:rPr>
        <w:t>esta problemática, entendiendo que es</w:t>
      </w:r>
      <w:r w:rsidR="00DF73A2" w:rsidRPr="005A4DF1">
        <w:rPr>
          <w:rFonts w:ascii="Verdana" w:hAnsi="Verdana" w:cs="Times New Roman"/>
          <w:sz w:val="20"/>
          <w:szCs w:val="20"/>
        </w:rPr>
        <w:t xml:space="preserve"> legítimo para este Tribunal Interamericano realizar una interpretación evolutiv</w:t>
      </w:r>
      <w:r w:rsidR="00DF73A2">
        <w:rPr>
          <w:rFonts w:ascii="Verdana" w:hAnsi="Verdana" w:cs="Times New Roman"/>
          <w:sz w:val="20"/>
          <w:szCs w:val="20"/>
        </w:rPr>
        <w:t>a y dinámica del artículo 26 del Pacto de San José, que permitan</w:t>
      </w:r>
      <w:r w:rsidR="00DF73A2" w:rsidRPr="005A4DF1">
        <w:rPr>
          <w:rFonts w:ascii="Verdana" w:hAnsi="Verdana" w:cs="Times New Roman"/>
          <w:sz w:val="20"/>
          <w:szCs w:val="20"/>
        </w:rPr>
        <w:t xml:space="preserve"> proteger “</w:t>
      </w:r>
      <w:r w:rsidR="00DF73A2" w:rsidRPr="005A4DF1">
        <w:rPr>
          <w:rFonts w:ascii="Verdana" w:hAnsi="Verdana" w:cs="Tahoma"/>
          <w:sz w:val="20"/>
          <w:szCs w:val="20"/>
        </w:rPr>
        <w:t xml:space="preserve">los </w:t>
      </w:r>
      <w:r w:rsidR="00DF73A2" w:rsidRPr="00D878FE">
        <w:rPr>
          <w:rFonts w:ascii="Verdana" w:hAnsi="Verdana" w:cs="Tahoma"/>
          <w:i/>
          <w:sz w:val="20"/>
          <w:szCs w:val="20"/>
        </w:rPr>
        <w:t>derechos</w:t>
      </w:r>
      <w:r w:rsidR="00DF73A2" w:rsidRPr="005A4DF1">
        <w:rPr>
          <w:rFonts w:ascii="Verdana" w:hAnsi="Verdana" w:cs="Tahoma"/>
          <w:sz w:val="20"/>
          <w:szCs w:val="20"/>
        </w:rPr>
        <w:t xml:space="preserve"> que se </w:t>
      </w:r>
      <w:r w:rsidR="00DF73A2" w:rsidRPr="00D878FE">
        <w:rPr>
          <w:rFonts w:ascii="Verdana" w:hAnsi="Verdana" w:cs="Tahoma"/>
          <w:i/>
          <w:sz w:val="20"/>
          <w:szCs w:val="20"/>
        </w:rPr>
        <w:t>derivan</w:t>
      </w:r>
      <w:r w:rsidR="00DF73A2" w:rsidRPr="005A4DF1">
        <w:rPr>
          <w:rFonts w:ascii="Verdana" w:hAnsi="Verdana" w:cs="Tahoma"/>
          <w:sz w:val="20"/>
          <w:szCs w:val="20"/>
        </w:rPr>
        <w:t xml:space="preserve"> de las normas económicas, sociales y sobre educación, ciencia y cultura, </w:t>
      </w:r>
      <w:r w:rsidR="00DF73A2" w:rsidRPr="00D878FE">
        <w:rPr>
          <w:rFonts w:ascii="Verdana" w:hAnsi="Verdana" w:cs="Tahoma"/>
          <w:i/>
          <w:sz w:val="20"/>
          <w:szCs w:val="20"/>
        </w:rPr>
        <w:t>contenidas</w:t>
      </w:r>
      <w:r w:rsidR="00DF73A2" w:rsidRPr="005A4DF1">
        <w:rPr>
          <w:rFonts w:ascii="Verdana" w:hAnsi="Verdana" w:cs="Tahoma"/>
          <w:sz w:val="20"/>
          <w:szCs w:val="20"/>
        </w:rPr>
        <w:t xml:space="preserve"> en la Carta de la Organización de los Estados Americanos</w:t>
      </w:r>
      <w:r w:rsidR="00DF73A2">
        <w:rPr>
          <w:rFonts w:ascii="Verdana" w:hAnsi="Verdana" w:cs="Tahoma"/>
          <w:sz w:val="20"/>
          <w:szCs w:val="20"/>
        </w:rPr>
        <w:t>”.</w:t>
      </w:r>
      <w:r w:rsidR="00DF73A2" w:rsidRPr="005A4DF1">
        <w:rPr>
          <w:rFonts w:ascii="Verdana" w:hAnsi="Verdana" w:cs="Tahoma"/>
          <w:sz w:val="20"/>
          <w:szCs w:val="20"/>
        </w:rPr>
        <w:t xml:space="preserve"> </w:t>
      </w:r>
      <w:r w:rsidR="00B95968" w:rsidRPr="005A4DF1">
        <w:rPr>
          <w:rFonts w:ascii="Verdana" w:hAnsi="Verdana"/>
          <w:sz w:val="20"/>
          <w:szCs w:val="20"/>
        </w:rPr>
        <w:t xml:space="preserve">En este sentido, la Convención Americana y la Carta de la OEA pueden actuar de manera sinérgica para garantizar los derechos sociales que deriven de las normas que contemplen esos </w:t>
      </w:r>
      <w:r w:rsidR="00B95968" w:rsidRPr="007B593A">
        <w:rPr>
          <w:rFonts w:ascii="Verdana" w:hAnsi="Verdana"/>
          <w:sz w:val="20"/>
          <w:szCs w:val="20"/>
        </w:rPr>
        <w:t>derechos</w:t>
      </w:r>
      <w:r w:rsidR="00EF5507">
        <w:rPr>
          <w:rFonts w:ascii="Verdana" w:hAnsi="Verdana"/>
          <w:sz w:val="20"/>
          <w:szCs w:val="20"/>
        </w:rPr>
        <w:t>,</w:t>
      </w:r>
      <w:r w:rsidR="00B95968" w:rsidRPr="007B593A">
        <w:rPr>
          <w:rFonts w:ascii="Verdana" w:hAnsi="Verdana"/>
          <w:sz w:val="20"/>
          <w:szCs w:val="20"/>
        </w:rPr>
        <w:t xml:space="preserve"> como</w:t>
      </w:r>
      <w:r w:rsidR="00B95968" w:rsidRPr="005A4DF1">
        <w:rPr>
          <w:rFonts w:ascii="Verdana" w:hAnsi="Verdana"/>
          <w:sz w:val="20"/>
          <w:szCs w:val="20"/>
        </w:rPr>
        <w:t xml:space="preserve"> lo es el </w:t>
      </w:r>
      <w:r w:rsidR="00B95968" w:rsidRPr="005A4DF1">
        <w:rPr>
          <w:rFonts w:ascii="Verdana" w:hAnsi="Verdana"/>
          <w:i/>
          <w:sz w:val="20"/>
          <w:szCs w:val="20"/>
        </w:rPr>
        <w:t>derecho a la vivienda</w:t>
      </w:r>
      <w:r w:rsidR="00B95968" w:rsidRPr="005A4DF1">
        <w:rPr>
          <w:rFonts w:ascii="Verdana" w:hAnsi="Verdana"/>
          <w:sz w:val="20"/>
          <w:szCs w:val="20"/>
        </w:rPr>
        <w:t xml:space="preserve"> en los contextos de desplazamiento forzado interno. </w:t>
      </w:r>
    </w:p>
    <w:p w14:paraId="6FD656CB" w14:textId="77777777" w:rsidR="00D878FE" w:rsidRDefault="00D878FE" w:rsidP="00D878FE">
      <w:pPr>
        <w:pStyle w:val="ListParagraph"/>
        <w:ind w:left="0"/>
        <w:jc w:val="both"/>
        <w:rPr>
          <w:rFonts w:ascii="Verdana" w:hAnsi="Verdana"/>
          <w:sz w:val="20"/>
          <w:szCs w:val="20"/>
        </w:rPr>
      </w:pPr>
    </w:p>
    <w:p w14:paraId="15493CBA" w14:textId="11C93A9E" w:rsidR="00D878FE" w:rsidRDefault="0070163D" w:rsidP="00B61E49">
      <w:pPr>
        <w:pStyle w:val="ListParagraph"/>
        <w:ind w:left="0"/>
        <w:jc w:val="both"/>
        <w:rPr>
          <w:rFonts w:ascii="Verdana" w:hAnsi="Verdana"/>
          <w:sz w:val="20"/>
          <w:szCs w:val="20"/>
        </w:rPr>
      </w:pPr>
      <w:r>
        <w:rPr>
          <w:rFonts w:ascii="Verdana" w:hAnsi="Verdana"/>
          <w:sz w:val="20"/>
          <w:szCs w:val="20"/>
        </w:rPr>
        <w:t>145</w:t>
      </w:r>
      <w:r w:rsidR="00D878FE" w:rsidRPr="003F2593">
        <w:rPr>
          <w:rFonts w:ascii="Verdana" w:hAnsi="Verdana"/>
          <w:sz w:val="20"/>
          <w:szCs w:val="20"/>
        </w:rPr>
        <w:t xml:space="preserve">. </w:t>
      </w:r>
      <w:r w:rsidR="00D878FE" w:rsidRPr="003F2593">
        <w:rPr>
          <w:rFonts w:ascii="Verdana" w:hAnsi="Verdana"/>
          <w:sz w:val="20"/>
          <w:szCs w:val="20"/>
        </w:rPr>
        <w:tab/>
        <w:t xml:space="preserve">Y de ahí que el Tribunal Interamericano pudiera haber abordado la problemática también teniendo en cuenta en forma más precisa el perjuicio sufrido; esto es, la privación de la vivienda, lo que pudo haber llevado a declarar, además de la violación al derecho a la propiedad privada, la vulneración al </w:t>
      </w:r>
      <w:r w:rsidR="00D878FE" w:rsidRPr="003F2593">
        <w:rPr>
          <w:rFonts w:ascii="Verdana" w:hAnsi="Verdana"/>
          <w:i/>
          <w:sz w:val="20"/>
          <w:szCs w:val="20"/>
        </w:rPr>
        <w:t>derecho a la vivienda</w:t>
      </w:r>
      <w:r w:rsidR="00D878FE" w:rsidRPr="003F2593">
        <w:rPr>
          <w:rFonts w:ascii="Verdana" w:hAnsi="Verdana"/>
          <w:sz w:val="20"/>
          <w:szCs w:val="20"/>
        </w:rPr>
        <w:t xml:space="preserve">, contenido a mi entender en </w:t>
      </w:r>
      <w:r w:rsidR="00B33E4A" w:rsidRPr="003F2593">
        <w:rPr>
          <w:rFonts w:ascii="Verdana" w:hAnsi="Verdana"/>
          <w:sz w:val="20"/>
          <w:szCs w:val="20"/>
        </w:rPr>
        <w:t xml:space="preserve">el artículo 26 de la Convención </w:t>
      </w:r>
      <w:r w:rsidR="00B61E49">
        <w:rPr>
          <w:rFonts w:ascii="Verdana" w:hAnsi="Verdana"/>
          <w:sz w:val="20"/>
          <w:szCs w:val="20"/>
        </w:rPr>
        <w:t xml:space="preserve">Americana </w:t>
      </w:r>
      <w:r w:rsidR="00B33E4A" w:rsidRPr="003F2593">
        <w:rPr>
          <w:rFonts w:ascii="Verdana" w:hAnsi="Verdana"/>
          <w:sz w:val="20"/>
          <w:szCs w:val="20"/>
        </w:rPr>
        <w:t>conforme lo he tratado de exponer en el presente voto.</w:t>
      </w:r>
      <w:r w:rsidR="00D878FE" w:rsidRPr="003F2593">
        <w:rPr>
          <w:rFonts w:ascii="Verdana" w:hAnsi="Verdana"/>
          <w:sz w:val="20"/>
          <w:szCs w:val="20"/>
        </w:rPr>
        <w:t xml:space="preserve"> </w:t>
      </w:r>
    </w:p>
    <w:p w14:paraId="792C178C" w14:textId="77777777" w:rsidR="00B61E49" w:rsidRPr="00B61E49" w:rsidRDefault="00B61E49" w:rsidP="00B61E49">
      <w:pPr>
        <w:pStyle w:val="ListParagraph"/>
        <w:ind w:left="0"/>
        <w:jc w:val="both"/>
        <w:rPr>
          <w:rFonts w:ascii="Verdana" w:hAnsi="Verdana"/>
          <w:sz w:val="20"/>
          <w:szCs w:val="20"/>
        </w:rPr>
      </w:pPr>
    </w:p>
    <w:p w14:paraId="59FE26A9" w14:textId="18445DA5" w:rsidR="00D878FE" w:rsidRPr="003F2593" w:rsidRDefault="0070163D" w:rsidP="00D878FE">
      <w:pPr>
        <w:tabs>
          <w:tab w:val="left" w:pos="567"/>
          <w:tab w:val="left" w:pos="709"/>
          <w:tab w:val="left" w:pos="9356"/>
        </w:tabs>
        <w:ind w:right="4"/>
        <w:jc w:val="both"/>
        <w:rPr>
          <w:rFonts w:ascii="Verdana" w:hAnsi="Verdana"/>
          <w:sz w:val="20"/>
          <w:szCs w:val="20"/>
        </w:rPr>
      </w:pPr>
      <w:r>
        <w:rPr>
          <w:rFonts w:ascii="Verdana" w:hAnsi="Verdana"/>
          <w:sz w:val="20"/>
          <w:szCs w:val="20"/>
        </w:rPr>
        <w:t>146</w:t>
      </w:r>
      <w:r w:rsidR="00D878FE" w:rsidRPr="003F2593">
        <w:rPr>
          <w:rFonts w:ascii="Verdana" w:hAnsi="Verdana"/>
          <w:sz w:val="20"/>
          <w:szCs w:val="20"/>
        </w:rPr>
        <w:t xml:space="preserve">. </w:t>
      </w:r>
      <w:r w:rsidR="00D878FE" w:rsidRPr="003F2593">
        <w:rPr>
          <w:rFonts w:ascii="Verdana" w:hAnsi="Verdana"/>
          <w:sz w:val="20"/>
          <w:szCs w:val="20"/>
        </w:rPr>
        <w:tab/>
      </w:r>
      <w:r w:rsidR="00D878FE" w:rsidRPr="003F2593">
        <w:rPr>
          <w:rFonts w:ascii="Verdana" w:hAnsi="Verdana"/>
          <w:sz w:val="20"/>
          <w:szCs w:val="20"/>
        </w:rPr>
        <w:tab/>
        <w:t>Advierto que la cuestión reviste importancia, pues el análisis más detallado y comprensivo de los derechos y obligaciones comprometidos en el caso no solo tiende a un desarrollo m</w:t>
      </w:r>
      <w:r w:rsidR="003F2593">
        <w:rPr>
          <w:rFonts w:ascii="Verdana" w:hAnsi="Verdana"/>
          <w:sz w:val="20"/>
          <w:szCs w:val="20"/>
        </w:rPr>
        <w:t>ás preciso de la fundamentación;</w:t>
      </w:r>
      <w:r w:rsidR="00D878FE" w:rsidRPr="003F2593">
        <w:rPr>
          <w:rFonts w:ascii="Verdana" w:hAnsi="Verdana"/>
          <w:sz w:val="20"/>
          <w:szCs w:val="20"/>
        </w:rPr>
        <w:t xml:space="preserve"> sino que permite el desarrollo de criterios jurídicos que posibilitan abordar de modo más propio y puntal asuntos de </w:t>
      </w:r>
      <w:r w:rsidR="00D878FE" w:rsidRPr="003F2593">
        <w:rPr>
          <w:rFonts w:ascii="Verdana" w:hAnsi="Verdana"/>
          <w:sz w:val="20"/>
          <w:szCs w:val="20"/>
        </w:rPr>
        <w:lastRenderedPageBreak/>
        <w:t xml:space="preserve">hondo impacto en la vigencia de los derechos humanos, como lo es el acceso a </w:t>
      </w:r>
      <w:r w:rsidR="00B61E49">
        <w:rPr>
          <w:rFonts w:ascii="Verdana" w:hAnsi="Verdana"/>
          <w:sz w:val="20"/>
          <w:szCs w:val="20"/>
        </w:rPr>
        <w:t>la vivienda y, en particular, su</w:t>
      </w:r>
      <w:r w:rsidR="00D878FE" w:rsidRPr="003F2593">
        <w:rPr>
          <w:rFonts w:ascii="Verdana" w:hAnsi="Verdana"/>
          <w:sz w:val="20"/>
          <w:szCs w:val="20"/>
        </w:rPr>
        <w:t xml:space="preserve"> problemática en situaciones de desplazamiento forzado. </w:t>
      </w:r>
    </w:p>
    <w:p w14:paraId="6DF53A83" w14:textId="77777777" w:rsidR="00B7366A" w:rsidRDefault="00B7366A" w:rsidP="00D878FE">
      <w:pPr>
        <w:tabs>
          <w:tab w:val="left" w:pos="567"/>
          <w:tab w:val="left" w:pos="709"/>
          <w:tab w:val="left" w:pos="9356"/>
        </w:tabs>
        <w:ind w:right="4"/>
        <w:jc w:val="both"/>
        <w:rPr>
          <w:szCs w:val="20"/>
        </w:rPr>
      </w:pPr>
    </w:p>
    <w:p w14:paraId="05CD4124" w14:textId="0D3288D5" w:rsidR="003F2593" w:rsidRDefault="0070163D" w:rsidP="003F2593">
      <w:pPr>
        <w:tabs>
          <w:tab w:val="left" w:pos="567"/>
          <w:tab w:val="left" w:pos="709"/>
          <w:tab w:val="left" w:pos="9356"/>
        </w:tabs>
        <w:ind w:right="4"/>
        <w:jc w:val="both"/>
        <w:rPr>
          <w:rFonts w:ascii="Verdana" w:eastAsiaTheme="minorHAnsi" w:hAnsi="Verdana"/>
          <w:sz w:val="20"/>
          <w:szCs w:val="20"/>
          <w:lang w:eastAsia="es-ES_tradnl"/>
        </w:rPr>
      </w:pPr>
      <w:r>
        <w:rPr>
          <w:rFonts w:ascii="Verdana" w:hAnsi="Verdana"/>
          <w:sz w:val="20"/>
          <w:szCs w:val="20"/>
        </w:rPr>
        <w:t>147</w:t>
      </w:r>
      <w:r w:rsidR="003F2593" w:rsidRPr="003F2593">
        <w:rPr>
          <w:rFonts w:ascii="Verdana" w:hAnsi="Verdana"/>
          <w:sz w:val="20"/>
          <w:szCs w:val="20"/>
        </w:rPr>
        <w:t xml:space="preserve">. </w:t>
      </w:r>
      <w:r w:rsidR="003F2593" w:rsidRPr="003F2593">
        <w:rPr>
          <w:rFonts w:ascii="Verdana" w:hAnsi="Verdana"/>
          <w:sz w:val="20"/>
          <w:szCs w:val="20"/>
        </w:rPr>
        <w:tab/>
      </w:r>
      <w:r w:rsidR="003F2593" w:rsidRPr="003F2593">
        <w:rPr>
          <w:rFonts w:ascii="Verdana" w:hAnsi="Verdana"/>
          <w:sz w:val="20"/>
          <w:szCs w:val="20"/>
        </w:rPr>
        <w:tab/>
        <w:t xml:space="preserve">Este </w:t>
      </w:r>
      <w:r w:rsidR="003F2593" w:rsidRPr="003F2593">
        <w:rPr>
          <w:rFonts w:ascii="Verdana" w:eastAsiaTheme="minorHAnsi" w:hAnsi="Verdana"/>
          <w:sz w:val="20"/>
          <w:szCs w:val="20"/>
          <w:lang w:eastAsia="es-ES_tradnl"/>
        </w:rPr>
        <w:t>fenómeno, en particular el desplazamiento forzado interno</w:t>
      </w:r>
      <w:r w:rsidR="00790894">
        <w:rPr>
          <w:rFonts w:ascii="Verdana" w:eastAsiaTheme="minorHAnsi" w:hAnsi="Verdana"/>
          <w:sz w:val="20"/>
          <w:szCs w:val="20"/>
          <w:lang w:eastAsia="es-ES_tradnl"/>
        </w:rPr>
        <w:t xml:space="preserve"> (</w:t>
      </w:r>
      <w:r w:rsidR="003F2593" w:rsidRPr="003F2593">
        <w:rPr>
          <w:rFonts w:ascii="Verdana" w:eastAsiaTheme="minorHAnsi" w:hAnsi="Verdana"/>
          <w:sz w:val="20"/>
          <w:szCs w:val="20"/>
          <w:lang w:eastAsia="es-ES_tradnl"/>
        </w:rPr>
        <w:t xml:space="preserve">que incluye el desplazamiento </w:t>
      </w:r>
      <w:proofErr w:type="spellStart"/>
      <w:r w:rsidR="003F2593" w:rsidRPr="003F2593">
        <w:rPr>
          <w:rFonts w:ascii="Verdana" w:eastAsiaTheme="minorHAnsi" w:hAnsi="Verdana"/>
          <w:sz w:val="20"/>
          <w:szCs w:val="20"/>
          <w:lang w:eastAsia="es-ES_tradnl"/>
        </w:rPr>
        <w:t>intraurbano</w:t>
      </w:r>
      <w:proofErr w:type="spellEnd"/>
      <w:r w:rsidR="00790894">
        <w:rPr>
          <w:rFonts w:ascii="Verdana" w:eastAsiaTheme="minorHAnsi" w:hAnsi="Verdana"/>
          <w:sz w:val="20"/>
          <w:szCs w:val="20"/>
          <w:lang w:eastAsia="es-ES_tradnl"/>
        </w:rPr>
        <w:t>)</w:t>
      </w:r>
      <w:r w:rsidR="003F2593" w:rsidRPr="003F2593">
        <w:rPr>
          <w:rFonts w:ascii="Verdana" w:eastAsiaTheme="minorHAnsi" w:hAnsi="Verdana"/>
          <w:sz w:val="20"/>
          <w:szCs w:val="20"/>
          <w:lang w:eastAsia="es-ES_tradnl"/>
        </w:rPr>
        <w:t>, ha sido particularmente grave en Colombia a partir del conflicto armado</w:t>
      </w:r>
      <w:r w:rsidR="003F2593" w:rsidRPr="003F2593">
        <w:rPr>
          <w:rStyle w:val="FootnoteReference"/>
          <w:rFonts w:ascii="Verdana" w:eastAsiaTheme="minorHAnsi" w:hAnsi="Verdana"/>
          <w:sz w:val="20"/>
          <w:szCs w:val="20"/>
          <w:lang w:eastAsia="es-ES_tradnl"/>
        </w:rPr>
        <w:footnoteReference w:id="162"/>
      </w:r>
      <w:r w:rsidR="003F2593" w:rsidRPr="003F2593">
        <w:rPr>
          <w:rFonts w:ascii="Verdana" w:eastAsiaTheme="minorHAnsi" w:hAnsi="Verdana"/>
          <w:sz w:val="20"/>
          <w:szCs w:val="20"/>
          <w:lang w:eastAsia="es-ES_tradnl"/>
        </w:rPr>
        <w:t>, y se relaciona con afectaciones al derecho a la vivienda, entre otros derechos</w:t>
      </w:r>
      <w:r w:rsidR="003F2593" w:rsidRPr="003F2593">
        <w:rPr>
          <w:rStyle w:val="FootnoteReference"/>
          <w:rFonts w:ascii="Verdana" w:eastAsiaTheme="minorHAnsi" w:hAnsi="Verdana"/>
          <w:sz w:val="20"/>
          <w:szCs w:val="20"/>
          <w:lang w:eastAsia="es-ES_tradnl"/>
        </w:rPr>
        <w:footnoteReference w:id="163"/>
      </w:r>
      <w:r w:rsidR="003F2593" w:rsidRPr="003F2593">
        <w:rPr>
          <w:rFonts w:ascii="Verdana" w:eastAsiaTheme="minorHAnsi" w:hAnsi="Verdana"/>
          <w:sz w:val="20"/>
          <w:szCs w:val="20"/>
          <w:lang w:eastAsia="es-ES_tradnl"/>
        </w:rPr>
        <w:t>. Como lo ha</w:t>
      </w:r>
      <w:r w:rsidR="003F2593" w:rsidRPr="003F2593">
        <w:rPr>
          <w:rFonts w:ascii="Verdana" w:hAnsi="Verdana"/>
          <w:sz w:val="20"/>
          <w:szCs w:val="20"/>
        </w:rPr>
        <w:t xml:space="preserve"> indicado la Relatora Especial de Naciones Unidas </w:t>
      </w:r>
      <w:r w:rsidR="003F2593" w:rsidRPr="003F2593">
        <w:rPr>
          <w:rFonts w:ascii="Verdana" w:hAnsi="Verdana"/>
          <w:bCs/>
          <w:sz w:val="20"/>
          <w:szCs w:val="20"/>
        </w:rPr>
        <w:t xml:space="preserve">sobre la vivienda adecuada como elemento integrante del derecho a un nivel de vida adecuado, y sobre el derecho a la no discriminación </w:t>
      </w:r>
      <w:r w:rsidR="003F2593" w:rsidRPr="003F2593">
        <w:rPr>
          <w:rFonts w:ascii="Verdana" w:hAnsi="Verdana"/>
          <w:sz w:val="20"/>
          <w:szCs w:val="20"/>
        </w:rPr>
        <w:t>“[a]</w:t>
      </w:r>
      <w:proofErr w:type="spellStart"/>
      <w:r w:rsidR="003F2593" w:rsidRPr="003F2593">
        <w:rPr>
          <w:rFonts w:ascii="Verdana" w:eastAsiaTheme="minorHAnsi" w:hAnsi="Verdana"/>
          <w:sz w:val="20"/>
          <w:szCs w:val="20"/>
          <w:lang w:eastAsia="es-ES_tradnl"/>
        </w:rPr>
        <w:t>proximadamente</w:t>
      </w:r>
      <w:proofErr w:type="spellEnd"/>
      <w:r w:rsidR="003F2593" w:rsidRPr="003F2593">
        <w:rPr>
          <w:rFonts w:ascii="Verdana" w:eastAsiaTheme="minorHAnsi" w:hAnsi="Verdana"/>
          <w:sz w:val="20"/>
          <w:szCs w:val="20"/>
          <w:lang w:eastAsia="es-ES_tradnl"/>
        </w:rPr>
        <w:t xml:space="preserve"> un tercio de las</w:t>
      </w:r>
      <w:r w:rsidR="00790894">
        <w:rPr>
          <w:rFonts w:ascii="Verdana" w:eastAsiaTheme="minorHAnsi" w:hAnsi="Verdana"/>
          <w:sz w:val="20"/>
          <w:szCs w:val="20"/>
          <w:lang w:eastAsia="es-ES_tradnl"/>
        </w:rPr>
        <w:t xml:space="preserve"> muertes en todo el mundo están</w:t>
      </w:r>
      <w:r w:rsidR="003F2593" w:rsidRPr="003F2593">
        <w:rPr>
          <w:rFonts w:ascii="Verdana" w:eastAsiaTheme="minorHAnsi" w:hAnsi="Verdana"/>
          <w:sz w:val="20"/>
          <w:szCs w:val="20"/>
          <w:lang w:eastAsia="es-ES_tradnl"/>
        </w:rPr>
        <w:t xml:space="preserve"> vinculadas a la pobreza y la vivienda inadecuada”, y “[l]</w:t>
      </w:r>
      <w:r w:rsidR="003F2593" w:rsidRPr="003F2593">
        <w:rPr>
          <w:rFonts w:ascii="Verdana" w:eastAsiaTheme="minorHAnsi" w:hAnsi="Verdana"/>
          <w:sz w:val="20"/>
          <w:szCs w:val="20"/>
        </w:rPr>
        <w:t>as personas sin hogar están sujetas a una intimidación, discriminación y acoso constante”</w:t>
      </w:r>
      <w:r w:rsidR="003F2593" w:rsidRPr="003F2593">
        <w:rPr>
          <w:rStyle w:val="FootnoteReference"/>
          <w:rFonts w:ascii="Verdana" w:eastAsiaTheme="minorHAnsi" w:hAnsi="Verdana"/>
          <w:sz w:val="20"/>
          <w:szCs w:val="20"/>
          <w:lang w:eastAsia="es-ES_tradnl"/>
        </w:rPr>
        <w:footnoteReference w:id="164"/>
      </w:r>
      <w:r w:rsidR="003F2593" w:rsidRPr="003F2593">
        <w:rPr>
          <w:rFonts w:ascii="Verdana" w:eastAsiaTheme="minorHAnsi" w:hAnsi="Verdana"/>
          <w:sz w:val="20"/>
          <w:szCs w:val="20"/>
          <w:lang w:eastAsia="es-ES_tradnl"/>
        </w:rPr>
        <w:t xml:space="preserve"> . </w:t>
      </w:r>
    </w:p>
    <w:p w14:paraId="62810228" w14:textId="77777777" w:rsidR="003F2593" w:rsidRPr="003F2593" w:rsidRDefault="003F2593" w:rsidP="003F2593">
      <w:pPr>
        <w:tabs>
          <w:tab w:val="left" w:pos="567"/>
          <w:tab w:val="left" w:pos="709"/>
          <w:tab w:val="left" w:pos="9356"/>
        </w:tabs>
        <w:ind w:right="4"/>
        <w:jc w:val="both"/>
        <w:rPr>
          <w:rFonts w:ascii="Verdana" w:eastAsiaTheme="minorHAnsi" w:hAnsi="Verdana"/>
          <w:sz w:val="20"/>
          <w:szCs w:val="20"/>
          <w:lang w:eastAsia="es-ES_tradnl"/>
        </w:rPr>
      </w:pPr>
    </w:p>
    <w:p w14:paraId="1BD55041" w14:textId="661741CB" w:rsidR="003F2593" w:rsidRPr="00B92067" w:rsidRDefault="0070163D" w:rsidP="003F2593">
      <w:pPr>
        <w:pStyle w:val="ListParagraph"/>
        <w:widowControl w:val="0"/>
        <w:autoSpaceDE w:val="0"/>
        <w:autoSpaceDN w:val="0"/>
        <w:adjustRightInd w:val="0"/>
        <w:ind w:left="0"/>
        <w:jc w:val="both"/>
        <w:rPr>
          <w:rFonts w:ascii="Verdana" w:hAnsi="Verdana" w:cs="Times New Roman"/>
          <w:sz w:val="20"/>
          <w:szCs w:val="20"/>
        </w:rPr>
      </w:pPr>
      <w:r>
        <w:rPr>
          <w:rFonts w:ascii="Verdana" w:eastAsiaTheme="minorHAnsi" w:hAnsi="Verdana"/>
          <w:sz w:val="20"/>
          <w:szCs w:val="20"/>
          <w:lang w:eastAsia="es-ES_tradnl"/>
        </w:rPr>
        <w:t>148</w:t>
      </w:r>
      <w:r w:rsidR="003F2593" w:rsidRPr="00B92067">
        <w:rPr>
          <w:rFonts w:ascii="Verdana" w:eastAsiaTheme="minorHAnsi" w:hAnsi="Verdana"/>
          <w:sz w:val="20"/>
          <w:szCs w:val="20"/>
          <w:lang w:eastAsia="es-ES_tradnl"/>
        </w:rPr>
        <w:t xml:space="preserve">. </w:t>
      </w:r>
      <w:r w:rsidR="003F2593" w:rsidRPr="00B92067">
        <w:rPr>
          <w:rFonts w:ascii="Verdana" w:eastAsiaTheme="minorHAnsi" w:hAnsi="Verdana"/>
          <w:sz w:val="20"/>
          <w:szCs w:val="20"/>
          <w:lang w:eastAsia="es-ES_tradnl"/>
        </w:rPr>
        <w:tab/>
      </w:r>
      <w:r w:rsidR="003F2593" w:rsidRPr="00B92067">
        <w:rPr>
          <w:rFonts w:ascii="Verdana" w:hAnsi="Verdana" w:cs="Times New Roman"/>
          <w:sz w:val="20"/>
          <w:szCs w:val="20"/>
        </w:rPr>
        <w:t xml:space="preserve">Hechos como los que se suscitaron en el presente caso, en donde derivado del ejercicio de la defensa de los derechos humanos y la violencia dentro de la Comuna 13 hacia las defensoras de derechos humanos víctimas del caso </w:t>
      </w:r>
      <w:r w:rsidR="003F2593" w:rsidRPr="00B92067">
        <w:rPr>
          <w:rFonts w:ascii="Verdana" w:hAnsi="Verdana" w:cs="Times New Roman"/>
          <w:i/>
          <w:sz w:val="20"/>
          <w:szCs w:val="20"/>
        </w:rPr>
        <w:t xml:space="preserve">sub judice, </w:t>
      </w:r>
      <w:r w:rsidR="003F2593" w:rsidRPr="00B92067">
        <w:rPr>
          <w:rFonts w:ascii="Verdana" w:hAnsi="Verdana" w:cs="Times New Roman"/>
          <w:sz w:val="20"/>
          <w:szCs w:val="20"/>
        </w:rPr>
        <w:t xml:space="preserve">el desplazamiento forzado </w:t>
      </w:r>
      <w:proofErr w:type="spellStart"/>
      <w:r w:rsidR="003F2593" w:rsidRPr="00B92067">
        <w:rPr>
          <w:rFonts w:ascii="Verdana" w:hAnsi="Verdana" w:cs="Times New Roman"/>
          <w:sz w:val="20"/>
          <w:szCs w:val="20"/>
        </w:rPr>
        <w:t>intraurbano</w:t>
      </w:r>
      <w:proofErr w:type="spellEnd"/>
      <w:r w:rsidR="003F2593" w:rsidRPr="00B92067">
        <w:rPr>
          <w:rFonts w:ascii="Verdana" w:hAnsi="Verdana" w:cs="Times New Roman"/>
          <w:sz w:val="20"/>
          <w:szCs w:val="20"/>
        </w:rPr>
        <w:t xml:space="preserve"> en dos de ellas trajo </w:t>
      </w:r>
      <w:r w:rsidR="003F2593" w:rsidRPr="00B92067">
        <w:rPr>
          <w:rFonts w:ascii="Verdana" w:hAnsi="Verdana" w:cs="Times New Roman"/>
          <w:i/>
          <w:sz w:val="20"/>
          <w:szCs w:val="20"/>
        </w:rPr>
        <w:t>también como violación el derecho a la vivienda por su destrucción paulatina</w:t>
      </w:r>
      <w:r w:rsidR="003F2593" w:rsidRPr="00B92067">
        <w:rPr>
          <w:rFonts w:ascii="Verdana" w:hAnsi="Verdana" w:cs="Times New Roman"/>
          <w:sz w:val="20"/>
          <w:szCs w:val="20"/>
        </w:rPr>
        <w:t xml:space="preserve">. El reconocimiento de este derecho en la jurisprudencia interamericana abonaría para que </w:t>
      </w:r>
      <w:r w:rsidR="00B61E49">
        <w:rPr>
          <w:rFonts w:ascii="Verdana" w:hAnsi="Verdana" w:cs="Times New Roman"/>
          <w:sz w:val="20"/>
          <w:szCs w:val="20"/>
        </w:rPr>
        <w:t>la Corte IDH</w:t>
      </w:r>
      <w:r w:rsidR="003F2593" w:rsidRPr="00B92067">
        <w:rPr>
          <w:rFonts w:ascii="Verdana" w:hAnsi="Verdana" w:cs="Times New Roman"/>
          <w:sz w:val="20"/>
          <w:szCs w:val="20"/>
        </w:rPr>
        <w:t xml:space="preserve"> dimensione y proteja de mejor manera ciertos derechos enmarcados en la gravedad de las violaciones que se suscitan cuando una persona o grupo de personas se ven obligados a abandonar su hogar por causa de la violencia o de las violaciones masivas de derechos humanos.</w:t>
      </w:r>
    </w:p>
    <w:p w14:paraId="61748FB3" w14:textId="77777777" w:rsidR="003F2593" w:rsidRDefault="003F2593" w:rsidP="00B7366A">
      <w:pPr>
        <w:pStyle w:val="ListParagraph"/>
        <w:ind w:left="0" w:right="-144"/>
        <w:contextualSpacing w:val="0"/>
        <w:jc w:val="both"/>
        <w:rPr>
          <w:rFonts w:ascii="Verdana" w:hAnsi="Verdana"/>
          <w:bCs/>
          <w:sz w:val="20"/>
          <w:szCs w:val="20"/>
        </w:rPr>
      </w:pPr>
    </w:p>
    <w:p w14:paraId="70E17730" w14:textId="0554A46F" w:rsidR="00B7366A" w:rsidRPr="003F2593" w:rsidRDefault="0070163D" w:rsidP="00B7366A">
      <w:pPr>
        <w:pStyle w:val="ListParagraph"/>
        <w:ind w:left="0" w:right="-144"/>
        <w:contextualSpacing w:val="0"/>
        <w:jc w:val="both"/>
        <w:rPr>
          <w:rFonts w:ascii="Verdana" w:hAnsi="Verdana"/>
          <w:bCs/>
          <w:sz w:val="20"/>
          <w:szCs w:val="20"/>
        </w:rPr>
      </w:pPr>
      <w:r>
        <w:rPr>
          <w:rFonts w:ascii="Verdana" w:hAnsi="Verdana"/>
          <w:bCs/>
          <w:sz w:val="20"/>
          <w:szCs w:val="20"/>
        </w:rPr>
        <w:t>149</w:t>
      </w:r>
      <w:r w:rsidR="00B7366A" w:rsidRPr="003F2593">
        <w:rPr>
          <w:rFonts w:ascii="Verdana" w:hAnsi="Verdana"/>
          <w:bCs/>
          <w:sz w:val="20"/>
          <w:szCs w:val="20"/>
        </w:rPr>
        <w:t xml:space="preserve">. </w:t>
      </w:r>
      <w:r w:rsidR="00B7366A" w:rsidRPr="003F2593">
        <w:rPr>
          <w:rFonts w:ascii="Verdana" w:hAnsi="Verdana"/>
          <w:bCs/>
          <w:sz w:val="20"/>
          <w:szCs w:val="20"/>
        </w:rPr>
        <w:tab/>
        <w:t xml:space="preserve">Este caso muestra cómo la afectación a un derecho catalogado dentro de los derechos sociales se asimila a la vulneración que puede sufrir otro tipo de derecho. No siempre la evaluación sobre la observancia de un derecho económico, social o cultural conllevará la necesidad de evaluaciones sobre la progresividad o “no-regresividad”, o sobre aspectos económicos, o sobre legislación o marcos regulatorios generales o </w:t>
      </w:r>
      <w:r w:rsidR="00B7366A" w:rsidRPr="003F2593">
        <w:rPr>
          <w:rFonts w:ascii="Verdana" w:hAnsi="Verdana"/>
          <w:bCs/>
          <w:sz w:val="20"/>
          <w:szCs w:val="20"/>
        </w:rPr>
        <w:lastRenderedPageBreak/>
        <w:t xml:space="preserve">políticas públicas. En el caso, es evidente que el mismo no versa sobre aspectos del </w:t>
      </w:r>
      <w:r w:rsidR="00B7366A" w:rsidRPr="003F2593">
        <w:rPr>
          <w:rFonts w:ascii="Verdana" w:hAnsi="Verdana"/>
          <w:bCs/>
          <w:i/>
          <w:sz w:val="20"/>
          <w:szCs w:val="20"/>
        </w:rPr>
        <w:t>derecho a la vivienda</w:t>
      </w:r>
      <w:r w:rsidR="00B7366A" w:rsidRPr="003F2593">
        <w:rPr>
          <w:rFonts w:ascii="Verdana" w:hAnsi="Verdana"/>
          <w:bCs/>
          <w:sz w:val="20"/>
          <w:szCs w:val="20"/>
        </w:rPr>
        <w:t xml:space="preserve"> respecto a los cuales el Estado pudiera argüir, a fin de pretender eximir su responsabilidad, que su plena efectividad está todavía supeditada al logro de avances progresivos. </w:t>
      </w:r>
    </w:p>
    <w:p w14:paraId="5D069697" w14:textId="77777777" w:rsidR="00B33E4A" w:rsidRDefault="00B33E4A" w:rsidP="00B33E4A">
      <w:pPr>
        <w:pStyle w:val="ListParagraph"/>
        <w:widowControl w:val="0"/>
        <w:autoSpaceDE w:val="0"/>
        <w:autoSpaceDN w:val="0"/>
        <w:adjustRightInd w:val="0"/>
        <w:ind w:left="0"/>
        <w:jc w:val="both"/>
        <w:rPr>
          <w:rFonts w:ascii="Verdana" w:hAnsi="Verdana" w:cs="Times New Roman"/>
          <w:sz w:val="20"/>
          <w:szCs w:val="20"/>
        </w:rPr>
      </w:pPr>
    </w:p>
    <w:p w14:paraId="66BC0CD6" w14:textId="6B6C799B" w:rsidR="00845EF7" w:rsidRPr="003F2593" w:rsidRDefault="0070163D" w:rsidP="00A93A30">
      <w:pPr>
        <w:pStyle w:val="ListParagraph"/>
        <w:widowControl w:val="0"/>
        <w:autoSpaceDE w:val="0"/>
        <w:autoSpaceDN w:val="0"/>
        <w:adjustRightInd w:val="0"/>
        <w:ind w:left="0"/>
        <w:jc w:val="both"/>
        <w:rPr>
          <w:rFonts w:ascii="Verdana" w:hAnsi="Verdana" w:cs="Times New Roman"/>
          <w:sz w:val="20"/>
          <w:szCs w:val="20"/>
        </w:rPr>
      </w:pPr>
      <w:r>
        <w:rPr>
          <w:rFonts w:ascii="Verdana" w:hAnsi="Verdana" w:cs="Times New Roman"/>
          <w:sz w:val="20"/>
          <w:szCs w:val="20"/>
        </w:rPr>
        <w:t>150</w:t>
      </w:r>
      <w:r w:rsidR="00B33E4A" w:rsidRPr="003F2593">
        <w:rPr>
          <w:rFonts w:ascii="Verdana" w:hAnsi="Verdana" w:cs="Times New Roman"/>
          <w:sz w:val="20"/>
          <w:szCs w:val="20"/>
        </w:rPr>
        <w:t xml:space="preserve">. </w:t>
      </w:r>
      <w:r w:rsidR="00B33E4A" w:rsidRPr="003F2593">
        <w:rPr>
          <w:rFonts w:ascii="Verdana" w:hAnsi="Verdana" w:cs="Times New Roman"/>
          <w:sz w:val="20"/>
          <w:szCs w:val="20"/>
        </w:rPr>
        <w:tab/>
        <w:t xml:space="preserve"> </w:t>
      </w:r>
      <w:r w:rsidR="00D878FE" w:rsidRPr="003F2593">
        <w:rPr>
          <w:rFonts w:ascii="Verdana" w:eastAsiaTheme="minorHAnsi" w:hAnsi="Verdana"/>
          <w:sz w:val="20"/>
          <w:szCs w:val="20"/>
          <w:lang w:eastAsia="es-ES_tradnl"/>
        </w:rPr>
        <w:t>De ahí que no concibo un Sistema Inte</w:t>
      </w:r>
      <w:r w:rsidR="00B32310" w:rsidRPr="003F2593">
        <w:rPr>
          <w:rFonts w:ascii="Verdana" w:eastAsiaTheme="minorHAnsi" w:hAnsi="Verdana"/>
          <w:sz w:val="20"/>
          <w:szCs w:val="20"/>
          <w:lang w:eastAsia="es-ES_tradnl"/>
        </w:rPr>
        <w:t>ramericano sin</w:t>
      </w:r>
      <w:r w:rsidR="00D878FE" w:rsidRPr="003F2593">
        <w:rPr>
          <w:rFonts w:ascii="Verdana" w:eastAsiaTheme="minorHAnsi" w:hAnsi="Verdana"/>
          <w:sz w:val="20"/>
          <w:szCs w:val="20"/>
          <w:lang w:eastAsia="es-ES_tradnl"/>
        </w:rPr>
        <w:t xml:space="preserve"> </w:t>
      </w:r>
      <w:r w:rsidR="00D878FE" w:rsidRPr="003F2593">
        <w:rPr>
          <w:rFonts w:ascii="Verdana" w:eastAsiaTheme="minorHAnsi" w:hAnsi="Verdana"/>
          <w:i/>
          <w:sz w:val="20"/>
          <w:szCs w:val="20"/>
          <w:lang w:eastAsia="es-ES_tradnl"/>
        </w:rPr>
        <w:t>derecho a la vivienda</w:t>
      </w:r>
      <w:r w:rsidR="00D878FE" w:rsidRPr="003F2593">
        <w:rPr>
          <w:rFonts w:ascii="Verdana" w:eastAsiaTheme="minorHAnsi" w:hAnsi="Verdana"/>
          <w:sz w:val="20"/>
          <w:szCs w:val="20"/>
          <w:lang w:eastAsia="es-ES_tradnl"/>
        </w:rPr>
        <w:t xml:space="preserve">. Y tampoco </w:t>
      </w:r>
      <w:r w:rsidR="00C5026D" w:rsidRPr="003F2593">
        <w:rPr>
          <w:rFonts w:ascii="Verdana" w:eastAsiaTheme="minorHAnsi" w:hAnsi="Verdana"/>
          <w:sz w:val="20"/>
          <w:szCs w:val="20"/>
          <w:lang w:eastAsia="es-ES_tradnl"/>
        </w:rPr>
        <w:t xml:space="preserve">un tribunal de derechos humanos que no advierta el contexto en el cual se producen las violaciones a los derechos humanos, siendo los derechos sociales un </w:t>
      </w:r>
      <w:r w:rsidR="00B33E4A" w:rsidRPr="003F2593">
        <w:rPr>
          <w:rFonts w:ascii="Verdana" w:eastAsiaTheme="minorHAnsi" w:hAnsi="Verdana"/>
          <w:sz w:val="20"/>
          <w:szCs w:val="20"/>
          <w:lang w:eastAsia="es-ES_tradnl"/>
        </w:rPr>
        <w:t xml:space="preserve">componente sustancial en las democracias constitucionales y un </w:t>
      </w:r>
      <w:r w:rsidR="00C5026D" w:rsidRPr="003F2593">
        <w:rPr>
          <w:rFonts w:ascii="Verdana" w:eastAsiaTheme="minorHAnsi" w:hAnsi="Verdana"/>
          <w:sz w:val="20"/>
          <w:szCs w:val="20"/>
          <w:lang w:eastAsia="es-ES_tradnl"/>
        </w:rPr>
        <w:t xml:space="preserve">imperativo para lograr la paz y </w:t>
      </w:r>
      <w:r w:rsidR="00B33E4A" w:rsidRPr="003F2593">
        <w:rPr>
          <w:rFonts w:ascii="Verdana" w:eastAsiaTheme="minorHAnsi" w:hAnsi="Verdana"/>
          <w:sz w:val="20"/>
          <w:szCs w:val="20"/>
          <w:lang w:eastAsia="es-ES_tradnl"/>
        </w:rPr>
        <w:t xml:space="preserve">la </w:t>
      </w:r>
      <w:r w:rsidR="00C5026D" w:rsidRPr="003F2593">
        <w:rPr>
          <w:rFonts w:ascii="Verdana" w:eastAsiaTheme="minorHAnsi" w:hAnsi="Verdana"/>
          <w:sz w:val="20"/>
          <w:szCs w:val="20"/>
          <w:lang w:eastAsia="es-ES_tradnl"/>
        </w:rPr>
        <w:t xml:space="preserve">justicia social en los países </w:t>
      </w:r>
      <w:r w:rsidR="00B33E4A" w:rsidRPr="003F2593">
        <w:rPr>
          <w:rFonts w:ascii="Verdana" w:eastAsiaTheme="minorHAnsi" w:hAnsi="Verdana"/>
          <w:sz w:val="20"/>
          <w:szCs w:val="20"/>
          <w:lang w:eastAsia="es-ES_tradnl"/>
        </w:rPr>
        <w:t>de la región.</w:t>
      </w:r>
      <w:r w:rsidR="00A93A30" w:rsidRPr="003F2593">
        <w:rPr>
          <w:rFonts w:ascii="Verdana" w:hAnsi="Verdana" w:cs="Times New Roman"/>
          <w:sz w:val="20"/>
          <w:szCs w:val="20"/>
        </w:rPr>
        <w:t xml:space="preserve"> </w:t>
      </w:r>
    </w:p>
    <w:p w14:paraId="2E57971C" w14:textId="77777777" w:rsidR="00845EF7" w:rsidRDefault="00845EF7" w:rsidP="00454C7F">
      <w:pPr>
        <w:pStyle w:val="ListParagraph"/>
        <w:widowControl w:val="0"/>
        <w:autoSpaceDE w:val="0"/>
        <w:autoSpaceDN w:val="0"/>
        <w:adjustRightInd w:val="0"/>
        <w:ind w:left="0"/>
        <w:jc w:val="both"/>
        <w:rPr>
          <w:rFonts w:ascii="Verdana" w:hAnsi="Verdana" w:cs="Times New Roman"/>
          <w:sz w:val="20"/>
          <w:szCs w:val="20"/>
        </w:rPr>
      </w:pPr>
    </w:p>
    <w:p w14:paraId="2DFC4737" w14:textId="77777777" w:rsidR="00D42C45" w:rsidRPr="005A4DF1" w:rsidRDefault="00D42C45" w:rsidP="00454C7F">
      <w:pPr>
        <w:pStyle w:val="ListParagraph"/>
        <w:widowControl w:val="0"/>
        <w:autoSpaceDE w:val="0"/>
        <w:autoSpaceDN w:val="0"/>
        <w:adjustRightInd w:val="0"/>
        <w:ind w:left="0"/>
        <w:jc w:val="both"/>
        <w:rPr>
          <w:rFonts w:ascii="Verdana" w:hAnsi="Verdana" w:cs="Times New Roman"/>
          <w:sz w:val="20"/>
          <w:szCs w:val="20"/>
        </w:rPr>
      </w:pPr>
    </w:p>
    <w:p w14:paraId="45407D62" w14:textId="481BBE9D" w:rsidR="00B92067" w:rsidRDefault="00B92067" w:rsidP="0083334B">
      <w:pPr>
        <w:jc w:val="both"/>
        <w:rPr>
          <w:rFonts w:ascii="Verdana" w:hAnsi="Verdana"/>
          <w:spacing w:val="-4"/>
          <w:sz w:val="20"/>
          <w:szCs w:val="20"/>
        </w:rPr>
      </w:pPr>
    </w:p>
    <w:p w14:paraId="3E6C83B6" w14:textId="77777777" w:rsidR="00A60F48" w:rsidRDefault="00A60F48" w:rsidP="0083334B">
      <w:pPr>
        <w:jc w:val="both"/>
        <w:rPr>
          <w:rFonts w:ascii="Verdana" w:hAnsi="Verdana"/>
          <w:spacing w:val="-4"/>
          <w:sz w:val="20"/>
          <w:szCs w:val="20"/>
        </w:rPr>
      </w:pPr>
    </w:p>
    <w:p w14:paraId="6405C20B" w14:textId="2F0D3098" w:rsidR="00A60F48" w:rsidRDefault="00A60F48" w:rsidP="0083334B">
      <w:pPr>
        <w:jc w:val="both"/>
        <w:rPr>
          <w:rFonts w:ascii="Verdana" w:hAnsi="Verdana"/>
          <w:spacing w:val="-4"/>
          <w:sz w:val="20"/>
          <w:szCs w:val="20"/>
        </w:rPr>
      </w:pPr>
    </w:p>
    <w:p w14:paraId="4BF21389" w14:textId="09465ED5" w:rsidR="00A60F48" w:rsidRDefault="00A60F48" w:rsidP="0083334B">
      <w:pPr>
        <w:jc w:val="both"/>
        <w:rPr>
          <w:rFonts w:ascii="Verdana" w:hAnsi="Verdana"/>
          <w:spacing w:val="-4"/>
          <w:sz w:val="20"/>
          <w:szCs w:val="20"/>
        </w:rPr>
      </w:pPr>
    </w:p>
    <w:p w14:paraId="20E44C0F" w14:textId="77777777" w:rsidR="00A60F48" w:rsidRDefault="00A60F48" w:rsidP="0083334B">
      <w:pPr>
        <w:jc w:val="both"/>
        <w:rPr>
          <w:rFonts w:ascii="Verdana" w:hAnsi="Verdana"/>
          <w:spacing w:val="-4"/>
          <w:sz w:val="20"/>
          <w:szCs w:val="20"/>
        </w:rPr>
      </w:pPr>
    </w:p>
    <w:p w14:paraId="71469464" w14:textId="1B2A0BEF" w:rsidR="00A60F48" w:rsidRDefault="00A60F48" w:rsidP="0083334B">
      <w:pPr>
        <w:jc w:val="both"/>
        <w:rPr>
          <w:rFonts w:ascii="Verdana" w:hAnsi="Verdana"/>
          <w:spacing w:val="-4"/>
          <w:sz w:val="20"/>
          <w:szCs w:val="20"/>
        </w:rPr>
      </w:pPr>
    </w:p>
    <w:p w14:paraId="2CF6DEE5" w14:textId="77777777" w:rsidR="00845EF7" w:rsidRPr="005A4DF1" w:rsidRDefault="00845EF7" w:rsidP="00454C7F">
      <w:pPr>
        <w:ind w:left="5041"/>
        <w:jc w:val="both"/>
        <w:rPr>
          <w:rFonts w:ascii="Verdana" w:hAnsi="Verdana"/>
          <w:spacing w:val="-4"/>
          <w:sz w:val="20"/>
          <w:szCs w:val="20"/>
        </w:rPr>
      </w:pPr>
      <w:r w:rsidRPr="005A4DF1">
        <w:rPr>
          <w:rFonts w:ascii="Verdana" w:hAnsi="Verdana"/>
          <w:spacing w:val="-4"/>
          <w:sz w:val="20"/>
          <w:szCs w:val="20"/>
        </w:rPr>
        <w:t>Eduardo Ferrer Mac-</w:t>
      </w:r>
      <w:proofErr w:type="spellStart"/>
      <w:r w:rsidRPr="005A4DF1">
        <w:rPr>
          <w:rFonts w:ascii="Verdana" w:hAnsi="Verdana"/>
          <w:spacing w:val="-4"/>
          <w:sz w:val="20"/>
          <w:szCs w:val="20"/>
        </w:rPr>
        <w:t>Gregor</w:t>
      </w:r>
      <w:proofErr w:type="spellEnd"/>
      <w:r w:rsidRPr="005A4DF1">
        <w:rPr>
          <w:rFonts w:ascii="Verdana" w:hAnsi="Verdana"/>
          <w:spacing w:val="-4"/>
          <w:sz w:val="20"/>
          <w:szCs w:val="20"/>
        </w:rPr>
        <w:t xml:space="preserve"> </w:t>
      </w:r>
      <w:proofErr w:type="spellStart"/>
      <w:r w:rsidRPr="005A4DF1">
        <w:rPr>
          <w:rFonts w:ascii="Verdana" w:hAnsi="Verdana"/>
          <w:spacing w:val="-4"/>
          <w:sz w:val="20"/>
          <w:szCs w:val="20"/>
        </w:rPr>
        <w:t>Poisot</w:t>
      </w:r>
      <w:proofErr w:type="spellEnd"/>
    </w:p>
    <w:p w14:paraId="5A178C55" w14:textId="4B7191E0" w:rsidR="00845EF7" w:rsidRPr="0083334B" w:rsidRDefault="00D42C45" w:rsidP="00D42C45">
      <w:pPr>
        <w:ind w:left="5749" w:firstLine="623"/>
        <w:rPr>
          <w:rFonts w:ascii="Verdana" w:hAnsi="Verdana"/>
          <w:i/>
          <w:spacing w:val="-4"/>
          <w:sz w:val="20"/>
          <w:szCs w:val="20"/>
        </w:rPr>
      </w:pPr>
      <w:r>
        <w:rPr>
          <w:rFonts w:ascii="Verdana" w:hAnsi="Verdana"/>
          <w:spacing w:val="-4"/>
          <w:sz w:val="20"/>
          <w:szCs w:val="20"/>
        </w:rPr>
        <w:t xml:space="preserve">   </w:t>
      </w:r>
      <w:r w:rsidR="00845EF7" w:rsidRPr="005A4DF1">
        <w:rPr>
          <w:rFonts w:ascii="Verdana" w:hAnsi="Verdana"/>
          <w:spacing w:val="-4"/>
          <w:sz w:val="20"/>
          <w:szCs w:val="20"/>
        </w:rPr>
        <w:t>Juez</w:t>
      </w:r>
    </w:p>
    <w:p w14:paraId="151E40BB" w14:textId="77777777" w:rsidR="00D42C45" w:rsidRDefault="00D42C45" w:rsidP="00454C7F">
      <w:pPr>
        <w:jc w:val="both"/>
        <w:rPr>
          <w:rFonts w:ascii="Verdana" w:hAnsi="Verdana" w:cs="Verdana"/>
          <w:spacing w:val="-4"/>
          <w:sz w:val="20"/>
          <w:szCs w:val="20"/>
        </w:rPr>
      </w:pPr>
    </w:p>
    <w:p w14:paraId="3BB7C254" w14:textId="77777777" w:rsidR="00A60F48" w:rsidRDefault="00A60F48" w:rsidP="00454C7F">
      <w:pPr>
        <w:jc w:val="both"/>
        <w:rPr>
          <w:rFonts w:ascii="Verdana" w:hAnsi="Verdana" w:cs="Verdana"/>
          <w:spacing w:val="-4"/>
          <w:sz w:val="20"/>
          <w:szCs w:val="20"/>
        </w:rPr>
      </w:pPr>
    </w:p>
    <w:p w14:paraId="13A6F00D" w14:textId="77777777" w:rsidR="00A60F48" w:rsidRDefault="00A60F48" w:rsidP="00454C7F">
      <w:pPr>
        <w:jc w:val="both"/>
        <w:rPr>
          <w:rFonts w:ascii="Verdana" w:hAnsi="Verdana" w:cs="Verdana"/>
          <w:spacing w:val="-4"/>
          <w:sz w:val="20"/>
          <w:szCs w:val="20"/>
        </w:rPr>
      </w:pPr>
    </w:p>
    <w:p w14:paraId="0653ECE8" w14:textId="0D51A80B" w:rsidR="00A60F48" w:rsidRDefault="00A60F48" w:rsidP="00454C7F">
      <w:pPr>
        <w:jc w:val="both"/>
        <w:rPr>
          <w:rFonts w:ascii="Verdana" w:hAnsi="Verdana" w:cs="Verdana"/>
          <w:spacing w:val="-4"/>
          <w:sz w:val="20"/>
          <w:szCs w:val="20"/>
        </w:rPr>
      </w:pPr>
    </w:p>
    <w:p w14:paraId="44A5F6DD" w14:textId="77777777" w:rsidR="00D42C45" w:rsidRPr="005A4DF1" w:rsidRDefault="00D42C45" w:rsidP="00454C7F">
      <w:pPr>
        <w:jc w:val="both"/>
        <w:rPr>
          <w:rFonts w:ascii="Verdana" w:hAnsi="Verdana" w:cs="Verdana"/>
          <w:spacing w:val="-4"/>
          <w:sz w:val="20"/>
          <w:szCs w:val="20"/>
        </w:rPr>
      </w:pPr>
    </w:p>
    <w:p w14:paraId="234B97F6" w14:textId="77777777" w:rsidR="00845EF7" w:rsidRPr="005A4DF1" w:rsidRDefault="00845EF7" w:rsidP="00454C7F">
      <w:pPr>
        <w:jc w:val="both"/>
        <w:rPr>
          <w:rFonts w:ascii="Verdana" w:hAnsi="Verdana" w:cs="Verdana"/>
          <w:spacing w:val="-4"/>
          <w:sz w:val="20"/>
          <w:szCs w:val="20"/>
        </w:rPr>
      </w:pPr>
    </w:p>
    <w:p w14:paraId="21B318DE" w14:textId="77777777" w:rsidR="00845EF7" w:rsidRPr="005A4DF1" w:rsidRDefault="00845EF7" w:rsidP="00454C7F">
      <w:pPr>
        <w:jc w:val="both"/>
        <w:rPr>
          <w:rFonts w:ascii="Verdana" w:hAnsi="Verdana" w:cs="Verdana"/>
          <w:spacing w:val="-4"/>
          <w:sz w:val="20"/>
          <w:szCs w:val="20"/>
        </w:rPr>
      </w:pPr>
      <w:r w:rsidRPr="005A4DF1">
        <w:rPr>
          <w:rFonts w:ascii="Verdana" w:hAnsi="Verdana" w:cs="Verdana"/>
          <w:spacing w:val="-4"/>
          <w:sz w:val="20"/>
          <w:szCs w:val="20"/>
        </w:rPr>
        <w:t>Pablo Saavedra Alessandri</w:t>
      </w:r>
    </w:p>
    <w:p w14:paraId="714CDE3E" w14:textId="197DCFA2" w:rsidR="00845EF7" w:rsidRPr="005A4DF1" w:rsidRDefault="00845EF7" w:rsidP="00950962">
      <w:pPr>
        <w:jc w:val="both"/>
        <w:rPr>
          <w:rFonts w:ascii="Verdana" w:hAnsi="Verdana" w:cs="Times New Roman"/>
          <w:sz w:val="20"/>
          <w:szCs w:val="20"/>
        </w:rPr>
      </w:pPr>
      <w:r w:rsidRPr="005A4DF1">
        <w:rPr>
          <w:rFonts w:ascii="Verdana" w:hAnsi="Verdana" w:cs="Verdana"/>
          <w:spacing w:val="-4"/>
          <w:sz w:val="20"/>
          <w:szCs w:val="20"/>
        </w:rPr>
        <w:tab/>
        <w:t>Secretario</w:t>
      </w:r>
    </w:p>
    <w:sectPr w:rsidR="00845EF7" w:rsidRPr="005A4DF1" w:rsidSect="00130205">
      <w:footerReference w:type="even" r:id="rId9"/>
      <w:footerReference w:type="defaul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6785B" w14:textId="77777777" w:rsidR="0046241E" w:rsidRDefault="0046241E" w:rsidP="00E65684">
      <w:r>
        <w:separator/>
      </w:r>
    </w:p>
  </w:endnote>
  <w:endnote w:type="continuationSeparator" w:id="0">
    <w:p w14:paraId="0C7F11C6" w14:textId="77777777" w:rsidR="0046241E" w:rsidRDefault="0046241E" w:rsidP="00E6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BaskervilleStd-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8AC48" w14:textId="77777777" w:rsidR="0046241E" w:rsidRDefault="0046241E" w:rsidP="001302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E2A74B" w14:textId="77777777" w:rsidR="0046241E" w:rsidRDefault="0046241E" w:rsidP="00C464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D0B07" w14:textId="77777777" w:rsidR="0046241E" w:rsidRPr="00C4645F" w:rsidRDefault="0046241E" w:rsidP="00130205">
    <w:pPr>
      <w:pStyle w:val="Footer"/>
      <w:framePr w:wrap="around" w:vAnchor="text" w:hAnchor="margin" w:xAlign="center" w:y="1"/>
      <w:rPr>
        <w:rStyle w:val="PageNumber"/>
        <w:rFonts w:ascii="Verdana" w:hAnsi="Verdana"/>
        <w:sz w:val="20"/>
        <w:szCs w:val="20"/>
      </w:rPr>
    </w:pPr>
    <w:r w:rsidRPr="00C4645F">
      <w:rPr>
        <w:rStyle w:val="PageNumber"/>
        <w:rFonts w:ascii="Verdana" w:hAnsi="Verdana"/>
        <w:sz w:val="20"/>
        <w:szCs w:val="20"/>
      </w:rPr>
      <w:fldChar w:fldCharType="begin"/>
    </w:r>
    <w:r w:rsidRPr="00C4645F">
      <w:rPr>
        <w:rStyle w:val="PageNumber"/>
        <w:rFonts w:ascii="Verdana" w:hAnsi="Verdana"/>
        <w:sz w:val="20"/>
        <w:szCs w:val="20"/>
      </w:rPr>
      <w:instrText xml:space="preserve">PAGE  </w:instrText>
    </w:r>
    <w:r w:rsidRPr="00C4645F">
      <w:rPr>
        <w:rStyle w:val="PageNumber"/>
        <w:rFonts w:ascii="Verdana" w:hAnsi="Verdana"/>
        <w:sz w:val="20"/>
        <w:szCs w:val="20"/>
      </w:rPr>
      <w:fldChar w:fldCharType="separate"/>
    </w:r>
    <w:r w:rsidR="00F5616B">
      <w:rPr>
        <w:rStyle w:val="PageNumber"/>
        <w:rFonts w:ascii="Verdana" w:hAnsi="Verdana"/>
        <w:noProof/>
        <w:sz w:val="20"/>
        <w:szCs w:val="20"/>
      </w:rPr>
      <w:t>49</w:t>
    </w:r>
    <w:r w:rsidRPr="00C4645F">
      <w:rPr>
        <w:rStyle w:val="PageNumber"/>
        <w:rFonts w:ascii="Verdana" w:hAnsi="Verdana"/>
        <w:sz w:val="20"/>
        <w:szCs w:val="20"/>
      </w:rPr>
      <w:fldChar w:fldCharType="end"/>
    </w:r>
  </w:p>
  <w:p w14:paraId="100ECFF8" w14:textId="77777777" w:rsidR="0046241E" w:rsidRDefault="0046241E" w:rsidP="00C464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164F3" w14:textId="77777777" w:rsidR="0046241E" w:rsidRDefault="0046241E" w:rsidP="00E65684">
      <w:r>
        <w:separator/>
      </w:r>
    </w:p>
  </w:footnote>
  <w:footnote w:type="continuationSeparator" w:id="0">
    <w:p w14:paraId="0BE778F1" w14:textId="77777777" w:rsidR="0046241E" w:rsidRDefault="0046241E" w:rsidP="00E65684">
      <w:r>
        <w:continuationSeparator/>
      </w:r>
    </w:p>
  </w:footnote>
  <w:footnote w:id="1">
    <w:p w14:paraId="22054DA7" w14:textId="72FFCFD9" w:rsidR="0046241E" w:rsidRPr="00823EB7" w:rsidRDefault="0046241E" w:rsidP="002F649F">
      <w:pPr>
        <w:pStyle w:val="FootnoteText"/>
        <w:jc w:val="both"/>
        <w:rPr>
          <w:rFonts w:ascii="Verdana" w:hAnsi="Verdana"/>
          <w:sz w:val="16"/>
          <w:szCs w:val="16"/>
        </w:rPr>
      </w:pPr>
      <w:r w:rsidRPr="00823EB7">
        <w:rPr>
          <w:rStyle w:val="FootnoteReference"/>
          <w:rFonts w:ascii="Verdana" w:hAnsi="Verdana"/>
          <w:sz w:val="16"/>
          <w:szCs w:val="16"/>
        </w:rPr>
        <w:footnoteRef/>
      </w:r>
      <w:r w:rsidRPr="00823EB7">
        <w:rPr>
          <w:rFonts w:ascii="Verdana" w:hAnsi="Verdana"/>
          <w:sz w:val="16"/>
          <w:szCs w:val="16"/>
        </w:rPr>
        <w:t xml:space="preserve"> </w:t>
      </w:r>
      <w:r w:rsidRPr="00823EB7">
        <w:rPr>
          <w:rFonts w:ascii="Verdana" w:hAnsi="Verdana"/>
          <w:sz w:val="16"/>
          <w:szCs w:val="16"/>
        </w:rPr>
        <w:tab/>
      </w:r>
      <w:r w:rsidRPr="00823EB7">
        <w:rPr>
          <w:rFonts w:ascii="Verdana" w:hAnsi="Verdana"/>
          <w:i/>
          <w:sz w:val="16"/>
          <w:szCs w:val="16"/>
        </w:rPr>
        <w:t>Cfr.</w:t>
      </w:r>
      <w:r w:rsidRPr="00823EB7">
        <w:rPr>
          <w:rFonts w:ascii="Verdana" w:hAnsi="Verdana"/>
          <w:sz w:val="16"/>
          <w:szCs w:val="16"/>
        </w:rPr>
        <w:t xml:space="preserve"> Corte IDH. </w:t>
      </w:r>
      <w:r w:rsidRPr="00823EB7">
        <w:rPr>
          <w:rFonts w:ascii="Verdana" w:hAnsi="Verdana"/>
          <w:i/>
          <w:sz w:val="16"/>
          <w:szCs w:val="16"/>
        </w:rPr>
        <w:t xml:space="preserve">Caso </w:t>
      </w:r>
      <w:proofErr w:type="spellStart"/>
      <w:r w:rsidRPr="00823EB7">
        <w:rPr>
          <w:rFonts w:ascii="Verdana" w:hAnsi="Verdana"/>
          <w:i/>
          <w:sz w:val="16"/>
          <w:szCs w:val="16"/>
        </w:rPr>
        <w:t>Yarce</w:t>
      </w:r>
      <w:proofErr w:type="spellEnd"/>
      <w:r w:rsidRPr="00823EB7">
        <w:rPr>
          <w:rFonts w:ascii="Verdana" w:hAnsi="Verdana"/>
          <w:i/>
          <w:sz w:val="16"/>
          <w:szCs w:val="16"/>
        </w:rPr>
        <w:t xml:space="preserve"> y otras Vs. Colombia. Excepción Preliminar, Fondo, Reparaciones y Costas</w:t>
      </w:r>
      <w:r w:rsidRPr="00823EB7">
        <w:rPr>
          <w:rFonts w:ascii="Verdana" w:hAnsi="Verdana"/>
          <w:sz w:val="16"/>
          <w:szCs w:val="16"/>
        </w:rPr>
        <w:t xml:space="preserve">. Sentencia de 22 de noviembre de  2016, Serie C </w:t>
      </w:r>
      <w:r>
        <w:rPr>
          <w:rFonts w:ascii="Verdana" w:hAnsi="Verdana"/>
          <w:sz w:val="16"/>
          <w:szCs w:val="16"/>
        </w:rPr>
        <w:t>No. 325</w:t>
      </w:r>
      <w:r w:rsidRPr="00823EB7">
        <w:rPr>
          <w:rFonts w:ascii="Verdana" w:hAnsi="Verdana"/>
          <w:sz w:val="16"/>
          <w:szCs w:val="16"/>
        </w:rPr>
        <w:t xml:space="preserve">, </w:t>
      </w:r>
      <w:proofErr w:type="spellStart"/>
      <w:r w:rsidRPr="00823EB7">
        <w:rPr>
          <w:rFonts w:ascii="Verdana" w:hAnsi="Verdana"/>
          <w:sz w:val="16"/>
          <w:szCs w:val="16"/>
        </w:rPr>
        <w:t>párrs</w:t>
      </w:r>
      <w:proofErr w:type="spellEnd"/>
      <w:r w:rsidRPr="00823EB7">
        <w:rPr>
          <w:rFonts w:ascii="Verdana" w:hAnsi="Verdana"/>
          <w:sz w:val="16"/>
          <w:szCs w:val="16"/>
        </w:rPr>
        <w:t>. 10</w:t>
      </w:r>
      <w:r>
        <w:rPr>
          <w:rFonts w:ascii="Verdana" w:hAnsi="Verdana"/>
          <w:sz w:val="16"/>
          <w:szCs w:val="16"/>
        </w:rPr>
        <w:t>7</w:t>
      </w:r>
      <w:r w:rsidRPr="00823EB7">
        <w:rPr>
          <w:rFonts w:ascii="Verdana" w:hAnsi="Verdana"/>
          <w:sz w:val="16"/>
          <w:szCs w:val="16"/>
        </w:rPr>
        <w:t>, 1</w:t>
      </w:r>
      <w:r>
        <w:rPr>
          <w:rFonts w:ascii="Verdana" w:hAnsi="Verdana"/>
          <w:sz w:val="16"/>
          <w:szCs w:val="16"/>
        </w:rPr>
        <w:t>10</w:t>
      </w:r>
      <w:r w:rsidRPr="00823EB7">
        <w:rPr>
          <w:rFonts w:ascii="Verdana" w:hAnsi="Verdana"/>
          <w:sz w:val="16"/>
          <w:szCs w:val="16"/>
        </w:rPr>
        <w:t xml:space="preserve"> y 2</w:t>
      </w:r>
      <w:r>
        <w:rPr>
          <w:rFonts w:ascii="Verdana" w:hAnsi="Verdana"/>
          <w:sz w:val="16"/>
          <w:szCs w:val="16"/>
        </w:rPr>
        <w:t>59</w:t>
      </w:r>
      <w:r w:rsidRPr="00823EB7">
        <w:rPr>
          <w:rFonts w:ascii="Verdana" w:hAnsi="Verdana"/>
          <w:sz w:val="16"/>
          <w:szCs w:val="16"/>
        </w:rPr>
        <w:t xml:space="preserve">. </w:t>
      </w:r>
    </w:p>
    <w:p w14:paraId="6EF2CBAB" w14:textId="77777777" w:rsidR="0046241E" w:rsidRPr="00823EB7" w:rsidRDefault="0046241E" w:rsidP="002F649F">
      <w:pPr>
        <w:pStyle w:val="FootnoteText"/>
        <w:jc w:val="both"/>
        <w:rPr>
          <w:rFonts w:ascii="Verdana" w:hAnsi="Verdana"/>
          <w:sz w:val="16"/>
          <w:szCs w:val="16"/>
        </w:rPr>
      </w:pPr>
    </w:p>
  </w:footnote>
  <w:footnote w:id="2">
    <w:p w14:paraId="5664341C" w14:textId="7846D1CD" w:rsidR="0046241E" w:rsidRDefault="0046241E" w:rsidP="002F649F">
      <w:pPr>
        <w:pStyle w:val="FootnoteText"/>
        <w:jc w:val="both"/>
        <w:rPr>
          <w:rFonts w:ascii="Verdana" w:hAnsi="Verdana"/>
          <w:sz w:val="16"/>
          <w:szCs w:val="16"/>
        </w:rPr>
      </w:pPr>
      <w:r w:rsidRPr="00823EB7">
        <w:rPr>
          <w:rStyle w:val="FootnoteReference"/>
          <w:rFonts w:ascii="Verdana" w:hAnsi="Verdana"/>
          <w:sz w:val="16"/>
          <w:szCs w:val="16"/>
        </w:rPr>
        <w:footnoteRef/>
      </w:r>
      <w:r w:rsidRPr="00823EB7">
        <w:rPr>
          <w:rFonts w:ascii="Verdana" w:hAnsi="Verdana"/>
          <w:sz w:val="16"/>
          <w:szCs w:val="16"/>
        </w:rPr>
        <w:t xml:space="preserve"> </w:t>
      </w:r>
      <w:r w:rsidRPr="00823EB7">
        <w:rPr>
          <w:rFonts w:ascii="Verdana" w:hAnsi="Verdana"/>
          <w:sz w:val="16"/>
          <w:szCs w:val="16"/>
        </w:rPr>
        <w:tab/>
      </w:r>
      <w:r w:rsidRPr="00823EB7">
        <w:rPr>
          <w:rFonts w:ascii="Verdana" w:hAnsi="Verdana"/>
          <w:i/>
          <w:sz w:val="16"/>
          <w:szCs w:val="16"/>
        </w:rPr>
        <w:t>Cfr.</w:t>
      </w:r>
      <w:r w:rsidRPr="00823EB7">
        <w:rPr>
          <w:rFonts w:ascii="Verdana" w:hAnsi="Verdana"/>
          <w:sz w:val="16"/>
          <w:szCs w:val="16"/>
        </w:rPr>
        <w:t xml:space="preserve"> Corte IDH. </w:t>
      </w:r>
      <w:r w:rsidRPr="00823EB7">
        <w:rPr>
          <w:rFonts w:ascii="Verdana" w:hAnsi="Verdana"/>
          <w:i/>
          <w:sz w:val="16"/>
          <w:szCs w:val="16"/>
        </w:rPr>
        <w:t xml:space="preserve">Caso </w:t>
      </w:r>
      <w:proofErr w:type="spellStart"/>
      <w:r w:rsidRPr="00823EB7">
        <w:rPr>
          <w:rFonts w:ascii="Verdana" w:hAnsi="Verdana"/>
          <w:i/>
          <w:sz w:val="16"/>
          <w:szCs w:val="16"/>
        </w:rPr>
        <w:t>Yarce</w:t>
      </w:r>
      <w:proofErr w:type="spellEnd"/>
      <w:r w:rsidRPr="00823EB7">
        <w:rPr>
          <w:rFonts w:ascii="Verdana" w:hAnsi="Verdana"/>
          <w:i/>
          <w:sz w:val="16"/>
          <w:szCs w:val="16"/>
        </w:rPr>
        <w:t xml:space="preserve"> y otras Vs. Colombia. Excepción Preliminar, Fondo, Reparaciones y Costas</w:t>
      </w:r>
      <w:r w:rsidRPr="00823EB7">
        <w:rPr>
          <w:rFonts w:ascii="Verdana" w:hAnsi="Verdana"/>
          <w:sz w:val="16"/>
          <w:szCs w:val="16"/>
        </w:rPr>
        <w:t xml:space="preserve">. Sentencia de 22 de noviembre de 2016, Serie C </w:t>
      </w:r>
      <w:r>
        <w:rPr>
          <w:rFonts w:ascii="Verdana" w:hAnsi="Verdana"/>
          <w:sz w:val="16"/>
          <w:szCs w:val="16"/>
        </w:rPr>
        <w:t>No. 325</w:t>
      </w:r>
      <w:r w:rsidRPr="002331A9">
        <w:rPr>
          <w:rFonts w:ascii="Verdana" w:hAnsi="Verdana"/>
          <w:sz w:val="16"/>
          <w:szCs w:val="16"/>
        </w:rPr>
        <w:t xml:space="preserve">, </w:t>
      </w:r>
      <w:proofErr w:type="spellStart"/>
      <w:r w:rsidRPr="00DB01B1">
        <w:rPr>
          <w:rFonts w:ascii="Verdana" w:hAnsi="Verdana"/>
          <w:sz w:val="16"/>
          <w:szCs w:val="16"/>
        </w:rPr>
        <w:t>párrs</w:t>
      </w:r>
      <w:proofErr w:type="spellEnd"/>
      <w:r w:rsidRPr="00DB01B1">
        <w:rPr>
          <w:rFonts w:ascii="Verdana" w:hAnsi="Verdana"/>
          <w:sz w:val="16"/>
          <w:szCs w:val="16"/>
        </w:rPr>
        <w:t>. 262, 26</w:t>
      </w:r>
      <w:r>
        <w:rPr>
          <w:rFonts w:ascii="Verdana" w:hAnsi="Verdana"/>
          <w:sz w:val="16"/>
          <w:szCs w:val="16"/>
        </w:rPr>
        <w:t>6</w:t>
      </w:r>
      <w:r w:rsidRPr="00DB01B1">
        <w:rPr>
          <w:rFonts w:ascii="Verdana" w:hAnsi="Verdana"/>
          <w:sz w:val="16"/>
          <w:szCs w:val="16"/>
        </w:rPr>
        <w:t xml:space="preserve"> y punto resolutivo 10.</w:t>
      </w:r>
      <w:r w:rsidRPr="002F649F">
        <w:rPr>
          <w:rFonts w:ascii="Verdana" w:hAnsi="Verdana"/>
          <w:sz w:val="16"/>
          <w:szCs w:val="16"/>
        </w:rPr>
        <w:t xml:space="preserve"> </w:t>
      </w:r>
    </w:p>
    <w:p w14:paraId="05C24CB7" w14:textId="77777777" w:rsidR="0046241E" w:rsidRPr="002F649F" w:rsidRDefault="0046241E" w:rsidP="002F649F">
      <w:pPr>
        <w:pStyle w:val="FootnoteText"/>
        <w:jc w:val="both"/>
        <w:rPr>
          <w:rFonts w:ascii="Verdana" w:hAnsi="Verdana"/>
          <w:sz w:val="16"/>
          <w:szCs w:val="16"/>
        </w:rPr>
      </w:pPr>
    </w:p>
  </w:footnote>
  <w:footnote w:id="3">
    <w:p w14:paraId="4056CB3B" w14:textId="1C1208B0"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i/>
          <w:sz w:val="16"/>
          <w:szCs w:val="16"/>
        </w:rPr>
        <w:t>Cfr.</w:t>
      </w:r>
      <w:r w:rsidRPr="002F649F">
        <w:rPr>
          <w:rFonts w:ascii="Verdana" w:hAnsi="Verdana"/>
          <w:sz w:val="16"/>
          <w:szCs w:val="16"/>
        </w:rPr>
        <w:t xml:space="preserve"> Corte IDH. </w:t>
      </w:r>
      <w:r w:rsidRPr="002F649F">
        <w:rPr>
          <w:rFonts w:ascii="Verdana" w:hAnsi="Verdana"/>
          <w:i/>
          <w:sz w:val="16"/>
          <w:szCs w:val="16"/>
        </w:rPr>
        <w:t xml:space="preserve">Caso </w:t>
      </w:r>
      <w:proofErr w:type="spellStart"/>
      <w:r w:rsidRPr="002F649F">
        <w:rPr>
          <w:rFonts w:ascii="Verdana" w:hAnsi="Verdana"/>
          <w:i/>
          <w:sz w:val="16"/>
          <w:szCs w:val="16"/>
        </w:rPr>
        <w:t>Yarce</w:t>
      </w:r>
      <w:proofErr w:type="spellEnd"/>
      <w:r w:rsidRPr="002F649F">
        <w:rPr>
          <w:rFonts w:ascii="Verdana" w:hAnsi="Verdana"/>
          <w:i/>
          <w:sz w:val="16"/>
          <w:szCs w:val="16"/>
        </w:rPr>
        <w:t xml:space="preserve"> y otras Vs. </w:t>
      </w:r>
      <w:r w:rsidRPr="00D734D8">
        <w:rPr>
          <w:rFonts w:ascii="Verdana" w:hAnsi="Verdana"/>
          <w:i/>
          <w:sz w:val="16"/>
          <w:szCs w:val="16"/>
        </w:rPr>
        <w:t>Colombia. Excepción Preliminar, Fondo, Reparaciones y Costas</w:t>
      </w:r>
      <w:r w:rsidRPr="00D734D8">
        <w:rPr>
          <w:rFonts w:ascii="Verdana" w:hAnsi="Verdana"/>
          <w:sz w:val="16"/>
          <w:szCs w:val="16"/>
        </w:rPr>
        <w:t xml:space="preserve">. Sentencia de 22 de noviembre de  2016, Serie C </w:t>
      </w:r>
      <w:r>
        <w:rPr>
          <w:rFonts w:ascii="Verdana" w:hAnsi="Verdana"/>
          <w:sz w:val="16"/>
          <w:szCs w:val="16"/>
        </w:rPr>
        <w:t>No. 325</w:t>
      </w:r>
      <w:r w:rsidRPr="002331A9">
        <w:rPr>
          <w:rFonts w:ascii="Verdana" w:hAnsi="Verdana"/>
          <w:sz w:val="16"/>
          <w:szCs w:val="16"/>
        </w:rPr>
        <w:t xml:space="preserve">, </w:t>
      </w:r>
      <w:proofErr w:type="spellStart"/>
      <w:r w:rsidRPr="00DB01B1">
        <w:rPr>
          <w:rFonts w:ascii="Verdana" w:hAnsi="Verdana"/>
          <w:sz w:val="16"/>
          <w:szCs w:val="16"/>
        </w:rPr>
        <w:t>párr</w:t>
      </w:r>
      <w:r>
        <w:rPr>
          <w:rFonts w:ascii="Verdana" w:hAnsi="Verdana"/>
          <w:sz w:val="16"/>
          <w:szCs w:val="16"/>
        </w:rPr>
        <w:t>s</w:t>
      </w:r>
      <w:proofErr w:type="spellEnd"/>
      <w:r w:rsidRPr="00DB01B1">
        <w:rPr>
          <w:rFonts w:ascii="Verdana" w:hAnsi="Verdana"/>
          <w:sz w:val="16"/>
          <w:szCs w:val="16"/>
        </w:rPr>
        <w:t>. 36</w:t>
      </w:r>
      <w:r>
        <w:rPr>
          <w:rFonts w:ascii="Verdana" w:hAnsi="Verdana"/>
          <w:sz w:val="16"/>
          <w:szCs w:val="16"/>
        </w:rPr>
        <w:t>3 y 364.</w:t>
      </w:r>
      <w:r w:rsidRPr="002F649F">
        <w:rPr>
          <w:rFonts w:ascii="Verdana" w:hAnsi="Verdana"/>
          <w:sz w:val="16"/>
          <w:szCs w:val="16"/>
        </w:rPr>
        <w:t xml:space="preserve"> </w:t>
      </w:r>
    </w:p>
    <w:p w14:paraId="737C6311" w14:textId="77777777" w:rsidR="0046241E" w:rsidRPr="002F649F" w:rsidRDefault="0046241E" w:rsidP="002F649F">
      <w:pPr>
        <w:pStyle w:val="FootnoteText"/>
        <w:jc w:val="both"/>
        <w:rPr>
          <w:rFonts w:ascii="Verdana" w:hAnsi="Verdana"/>
          <w:sz w:val="16"/>
          <w:szCs w:val="16"/>
        </w:rPr>
      </w:pPr>
    </w:p>
  </w:footnote>
  <w:footnote w:id="4">
    <w:p w14:paraId="76A5F52C" w14:textId="4F313827" w:rsidR="0046241E" w:rsidRPr="002F649F" w:rsidRDefault="0046241E" w:rsidP="002F649F">
      <w:pPr>
        <w:pStyle w:val="NormalWeb"/>
        <w:spacing w:before="0" w:beforeAutospacing="0" w:after="0" w:afterAutospacing="0"/>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lang w:val="es-ES_tradnl"/>
        </w:rPr>
        <w:tab/>
      </w:r>
      <w:r w:rsidRPr="002F649F">
        <w:rPr>
          <w:rFonts w:ascii="Verdana" w:hAnsi="Verdana"/>
          <w:sz w:val="16"/>
          <w:szCs w:val="16"/>
        </w:rPr>
        <w:t xml:space="preserve">Sobre la </w:t>
      </w:r>
      <w:proofErr w:type="spellStart"/>
      <w:r w:rsidRPr="002F649F">
        <w:rPr>
          <w:rFonts w:ascii="Verdana" w:hAnsi="Verdana"/>
          <w:sz w:val="16"/>
          <w:szCs w:val="16"/>
        </w:rPr>
        <w:t>justiciabilidad</w:t>
      </w:r>
      <w:proofErr w:type="spellEnd"/>
      <w:r w:rsidRPr="002F649F">
        <w:rPr>
          <w:rFonts w:ascii="Verdana" w:hAnsi="Verdana"/>
          <w:sz w:val="16"/>
          <w:szCs w:val="16"/>
        </w:rPr>
        <w:t xml:space="preserve"> del </w:t>
      </w:r>
      <w:r w:rsidRPr="002F649F">
        <w:rPr>
          <w:rFonts w:ascii="Verdana" w:hAnsi="Verdana"/>
          <w:i/>
          <w:sz w:val="16"/>
          <w:szCs w:val="16"/>
        </w:rPr>
        <w:t>derecho a la salud</w:t>
      </w:r>
      <w:r w:rsidRPr="002F649F">
        <w:rPr>
          <w:rFonts w:ascii="Verdana" w:hAnsi="Verdana"/>
          <w:sz w:val="16"/>
          <w:szCs w:val="16"/>
        </w:rPr>
        <w:t xml:space="preserve">, </w:t>
      </w:r>
      <w:proofErr w:type="spellStart"/>
      <w:r w:rsidRPr="002F649F">
        <w:rPr>
          <w:rFonts w:ascii="Verdana" w:hAnsi="Verdana"/>
          <w:sz w:val="16"/>
          <w:szCs w:val="16"/>
        </w:rPr>
        <w:t>véanse</w:t>
      </w:r>
      <w:proofErr w:type="spellEnd"/>
      <w:r w:rsidRPr="002F649F">
        <w:rPr>
          <w:rFonts w:ascii="Verdana" w:hAnsi="Verdana"/>
          <w:sz w:val="16"/>
          <w:szCs w:val="16"/>
        </w:rPr>
        <w:t xml:space="preserve"> mis votos concurrentes: Corte IDH. </w:t>
      </w:r>
      <w:r w:rsidRPr="002F649F">
        <w:rPr>
          <w:rFonts w:ascii="Verdana" w:hAnsi="Verdana"/>
          <w:i/>
          <w:sz w:val="16"/>
          <w:szCs w:val="16"/>
        </w:rPr>
        <w:t xml:space="preserve">Caso </w:t>
      </w:r>
      <w:proofErr w:type="spellStart"/>
      <w:r w:rsidRPr="002F649F">
        <w:rPr>
          <w:rFonts w:ascii="Verdana" w:hAnsi="Verdana"/>
          <w:i/>
          <w:sz w:val="16"/>
          <w:szCs w:val="16"/>
        </w:rPr>
        <w:t>Suárez</w:t>
      </w:r>
      <w:proofErr w:type="spellEnd"/>
      <w:r w:rsidRPr="002F649F">
        <w:rPr>
          <w:rFonts w:ascii="Verdana" w:hAnsi="Verdana"/>
          <w:i/>
          <w:sz w:val="16"/>
          <w:szCs w:val="16"/>
        </w:rPr>
        <w:t xml:space="preserve"> Peralta Vs. Ecuador. Excepciones Preliminares, Fondo, Reparaciones y Costas.</w:t>
      </w:r>
      <w:r w:rsidRPr="002F649F">
        <w:rPr>
          <w:rFonts w:ascii="Verdana" w:hAnsi="Verdana"/>
          <w:sz w:val="16"/>
          <w:szCs w:val="16"/>
        </w:rPr>
        <w:t xml:space="preserve"> Sentencia del 21 de mayo de 2013, Serie C No. 262; </w:t>
      </w:r>
      <w:r w:rsidRPr="002F649F">
        <w:rPr>
          <w:rFonts w:ascii="Verdana" w:hAnsi="Verdana"/>
          <w:i/>
          <w:sz w:val="16"/>
          <w:szCs w:val="16"/>
        </w:rPr>
        <w:t xml:space="preserve">Caso Gonzales </w:t>
      </w:r>
      <w:proofErr w:type="spellStart"/>
      <w:r w:rsidRPr="002F649F">
        <w:rPr>
          <w:rFonts w:ascii="Verdana" w:hAnsi="Verdana"/>
          <w:i/>
          <w:sz w:val="16"/>
          <w:szCs w:val="16"/>
        </w:rPr>
        <w:t>Lluy</w:t>
      </w:r>
      <w:proofErr w:type="spellEnd"/>
      <w:r w:rsidRPr="002F649F">
        <w:rPr>
          <w:rFonts w:ascii="Verdana" w:hAnsi="Verdana"/>
          <w:i/>
          <w:sz w:val="16"/>
          <w:szCs w:val="16"/>
        </w:rPr>
        <w:t xml:space="preserve"> y otros Vs. Ecuador. Excepciones Preliminares, Fondo, Reparaciones y Costas</w:t>
      </w:r>
      <w:r w:rsidRPr="002F649F">
        <w:rPr>
          <w:rFonts w:ascii="Verdana" w:hAnsi="Verdana"/>
          <w:sz w:val="16"/>
          <w:szCs w:val="16"/>
        </w:rPr>
        <w:t xml:space="preserve">. Sentencia del 1 de septiembre de 2015. Serie C. No. 298; y </w:t>
      </w:r>
      <w:r w:rsidRPr="002F649F">
        <w:rPr>
          <w:rFonts w:ascii="Verdana" w:hAnsi="Verdana" w:cs="Verdana"/>
          <w:bCs/>
          <w:i/>
          <w:sz w:val="16"/>
          <w:szCs w:val="16"/>
          <w:lang w:val="es-ES"/>
        </w:rPr>
        <w:t>Caso Chinchilla Sandoval Vs. Guatemala. Excepción Preliminar, Fondo, Reparaciones y Costas</w:t>
      </w:r>
      <w:r w:rsidRPr="002F649F">
        <w:rPr>
          <w:rFonts w:ascii="Verdana" w:hAnsi="Verdana" w:cs="Verdana"/>
          <w:bCs/>
          <w:sz w:val="16"/>
          <w:szCs w:val="16"/>
          <w:lang w:val="es-ES"/>
        </w:rPr>
        <w:t xml:space="preserve">. Sentencia de 29 de febrero de 2016. Serie C No. 312. </w:t>
      </w:r>
      <w:r w:rsidRPr="002F649F">
        <w:rPr>
          <w:rFonts w:ascii="Verdana" w:hAnsi="Verdana"/>
          <w:sz w:val="16"/>
          <w:szCs w:val="16"/>
        </w:rPr>
        <w:t xml:space="preserve">En el mismo sentido, en </w:t>
      </w:r>
      <w:proofErr w:type="spellStart"/>
      <w:r w:rsidRPr="002F649F">
        <w:rPr>
          <w:rFonts w:ascii="Verdana" w:hAnsi="Verdana"/>
          <w:sz w:val="16"/>
          <w:szCs w:val="16"/>
        </w:rPr>
        <w:t>relación</w:t>
      </w:r>
      <w:proofErr w:type="spellEnd"/>
      <w:r w:rsidRPr="002F649F">
        <w:rPr>
          <w:rFonts w:ascii="Verdana" w:hAnsi="Verdana"/>
          <w:sz w:val="16"/>
          <w:szCs w:val="16"/>
        </w:rPr>
        <w:t xml:space="preserve"> con la </w:t>
      </w:r>
      <w:proofErr w:type="spellStart"/>
      <w:r w:rsidRPr="002F649F">
        <w:rPr>
          <w:rFonts w:ascii="Verdana" w:hAnsi="Verdana"/>
          <w:sz w:val="16"/>
          <w:szCs w:val="16"/>
        </w:rPr>
        <w:t>justiciabilidad</w:t>
      </w:r>
      <w:proofErr w:type="spellEnd"/>
      <w:r w:rsidRPr="002F649F">
        <w:rPr>
          <w:rFonts w:ascii="Verdana" w:hAnsi="Verdana"/>
          <w:sz w:val="16"/>
          <w:szCs w:val="16"/>
        </w:rPr>
        <w:t xml:space="preserve"> del </w:t>
      </w:r>
      <w:r w:rsidRPr="002F649F">
        <w:rPr>
          <w:rFonts w:ascii="Verdana" w:hAnsi="Verdana"/>
          <w:i/>
          <w:sz w:val="16"/>
          <w:szCs w:val="16"/>
        </w:rPr>
        <w:t>derecho al trabajo</w:t>
      </w:r>
      <w:r w:rsidRPr="002F649F">
        <w:rPr>
          <w:rFonts w:ascii="Verdana" w:hAnsi="Verdana"/>
          <w:sz w:val="16"/>
          <w:szCs w:val="16"/>
        </w:rPr>
        <w:t xml:space="preserve"> puede verse: Voto Conjunto Concurrente de los Jueces Roberto F. Caldas y Eduardo Ferrer Mac-</w:t>
      </w:r>
      <w:proofErr w:type="spellStart"/>
      <w:r w:rsidRPr="002F649F">
        <w:rPr>
          <w:rFonts w:ascii="Verdana" w:hAnsi="Verdana"/>
          <w:sz w:val="16"/>
          <w:szCs w:val="16"/>
        </w:rPr>
        <w:t>Gregor</w:t>
      </w:r>
      <w:proofErr w:type="spellEnd"/>
      <w:r w:rsidRPr="002F649F">
        <w:rPr>
          <w:rFonts w:ascii="Verdana" w:hAnsi="Verdana"/>
          <w:sz w:val="16"/>
          <w:szCs w:val="16"/>
        </w:rPr>
        <w:t xml:space="preserve"> </w:t>
      </w:r>
      <w:proofErr w:type="spellStart"/>
      <w:r w:rsidRPr="002F649F">
        <w:rPr>
          <w:rFonts w:ascii="Verdana" w:hAnsi="Verdana"/>
          <w:sz w:val="16"/>
          <w:szCs w:val="16"/>
        </w:rPr>
        <w:t>Poisot</w:t>
      </w:r>
      <w:proofErr w:type="spellEnd"/>
      <w:r w:rsidRPr="002F649F">
        <w:rPr>
          <w:rFonts w:ascii="Verdana" w:hAnsi="Verdana"/>
          <w:sz w:val="16"/>
          <w:szCs w:val="16"/>
        </w:rPr>
        <w:t xml:space="preserve"> al </w:t>
      </w:r>
      <w:r w:rsidRPr="002F649F">
        <w:rPr>
          <w:rFonts w:ascii="Verdana" w:hAnsi="Verdana"/>
          <w:i/>
          <w:sz w:val="16"/>
          <w:szCs w:val="16"/>
        </w:rPr>
        <w:t xml:space="preserve">Caso Canales </w:t>
      </w:r>
      <w:proofErr w:type="spellStart"/>
      <w:r w:rsidRPr="002F649F">
        <w:rPr>
          <w:rFonts w:ascii="Verdana" w:hAnsi="Verdana"/>
          <w:i/>
          <w:sz w:val="16"/>
          <w:szCs w:val="16"/>
        </w:rPr>
        <w:t>Huapaya</w:t>
      </w:r>
      <w:proofErr w:type="spellEnd"/>
      <w:r w:rsidRPr="002F649F">
        <w:rPr>
          <w:rFonts w:ascii="Verdana" w:hAnsi="Verdana"/>
          <w:i/>
          <w:sz w:val="16"/>
          <w:szCs w:val="16"/>
        </w:rPr>
        <w:t xml:space="preserve"> y otros Vs. </w:t>
      </w:r>
      <w:proofErr w:type="spellStart"/>
      <w:r w:rsidRPr="002F649F">
        <w:rPr>
          <w:rFonts w:ascii="Verdana" w:hAnsi="Verdana"/>
          <w:i/>
          <w:sz w:val="16"/>
          <w:szCs w:val="16"/>
        </w:rPr>
        <w:t>Peru</w:t>
      </w:r>
      <w:proofErr w:type="spellEnd"/>
      <w:r w:rsidRPr="002F649F">
        <w:rPr>
          <w:rFonts w:ascii="Verdana" w:hAnsi="Verdana"/>
          <w:i/>
          <w:sz w:val="16"/>
          <w:szCs w:val="16"/>
        </w:rPr>
        <w:t>́.</w:t>
      </w:r>
      <w:r w:rsidRPr="002F649F">
        <w:rPr>
          <w:rFonts w:ascii="Verdana" w:hAnsi="Verdana"/>
          <w:sz w:val="16"/>
          <w:szCs w:val="16"/>
        </w:rPr>
        <w:t xml:space="preserve"> </w:t>
      </w:r>
      <w:r w:rsidRPr="002F649F">
        <w:rPr>
          <w:rFonts w:ascii="Verdana" w:hAnsi="Verdana"/>
          <w:i/>
          <w:sz w:val="16"/>
          <w:szCs w:val="16"/>
        </w:rPr>
        <w:t>Excepciones preliminares, Fondo, Reparaciones y Costas</w:t>
      </w:r>
      <w:r w:rsidRPr="002F649F">
        <w:rPr>
          <w:rFonts w:ascii="Verdana" w:hAnsi="Verdana"/>
          <w:sz w:val="16"/>
          <w:szCs w:val="16"/>
        </w:rPr>
        <w:t xml:space="preserve">. Sentencia del 24 de junio de 2015. Serie C No. 296. </w:t>
      </w:r>
    </w:p>
    <w:p w14:paraId="57BB8182" w14:textId="77777777" w:rsidR="0046241E" w:rsidRPr="002F649F" w:rsidRDefault="0046241E" w:rsidP="002F649F">
      <w:pPr>
        <w:pStyle w:val="NormalWeb"/>
        <w:spacing w:before="0" w:beforeAutospacing="0" w:after="0" w:afterAutospacing="0"/>
        <w:jc w:val="both"/>
        <w:rPr>
          <w:rFonts w:ascii="Verdana" w:hAnsi="Verdana"/>
          <w:sz w:val="16"/>
          <w:szCs w:val="16"/>
        </w:rPr>
      </w:pPr>
    </w:p>
  </w:footnote>
  <w:footnote w:id="5">
    <w:p w14:paraId="05F17E70" w14:textId="2CD16B51" w:rsidR="0046241E" w:rsidRDefault="0046241E" w:rsidP="002F649F">
      <w:pPr>
        <w:pStyle w:val="ListParagraph"/>
        <w:ind w:left="0"/>
        <w:jc w:val="both"/>
        <w:rPr>
          <w:rFonts w:ascii="Verdana" w:hAnsi="Verdana" w:cs="Verdana"/>
          <w:bCs/>
          <w:sz w:val="16"/>
          <w:szCs w:val="16"/>
        </w:rPr>
      </w:pPr>
      <w:r w:rsidRPr="002F649F">
        <w:rPr>
          <w:rStyle w:val="FootnoteReference"/>
          <w:rFonts w:ascii="Verdana" w:hAnsi="Verdana"/>
          <w:sz w:val="16"/>
          <w:szCs w:val="16"/>
        </w:rPr>
        <w:footnoteRef/>
      </w:r>
      <w:r w:rsidRPr="002F649F">
        <w:rPr>
          <w:rFonts w:ascii="Verdana" w:hAnsi="Verdana"/>
          <w:sz w:val="16"/>
          <w:szCs w:val="16"/>
        </w:rPr>
        <w:tab/>
        <w:t xml:space="preserve">Cabe mencionar que la Carta de la OEA también contiene de manera expresa el derecho a la educación y algunas facetas de los derechos laborales. Respecto de los otros derechos que no están “expresamente enunciados” en la Carta de la OEA la Corte ha expresado en su Opinión Consultiva No. 10 sobre la </w:t>
      </w:r>
      <w:r w:rsidRPr="002F649F">
        <w:rPr>
          <w:rFonts w:ascii="Verdana" w:hAnsi="Verdana"/>
          <w:i/>
          <w:sz w:val="16"/>
          <w:szCs w:val="16"/>
        </w:rPr>
        <w:t xml:space="preserve">Interpretación de la Declaración Americana de los Derechos y Deberes del Hombre en el marco del artículo 64 de la Convención Americana sobre Derechos Humanos </w:t>
      </w:r>
      <w:r w:rsidRPr="002F649F">
        <w:rPr>
          <w:rFonts w:ascii="Verdana" w:hAnsi="Verdana"/>
          <w:sz w:val="16"/>
          <w:szCs w:val="16"/>
        </w:rPr>
        <w:t xml:space="preserve"> de 1989, que: “</w:t>
      </w:r>
      <w:r w:rsidRPr="002F649F">
        <w:rPr>
          <w:rFonts w:ascii="Verdana" w:hAnsi="Verdana"/>
          <w:i/>
          <w:sz w:val="16"/>
          <w:szCs w:val="16"/>
        </w:rPr>
        <w:t>43. Puede considerarse entonces que, a manera de interpretación autorizada, los Estados Miembros han entendido que la Declaración contiene y define aquellos derechos humanos esenciales a los que la Carta se refiere, de manera que no se puede interpretar y aplicar la Carta de la Organización en materia de derechos humanos, sin integrar las normas pertinentes de ella con las correspondientes disposiciones de la Declaración</w:t>
      </w:r>
      <w:r w:rsidRPr="002F649F">
        <w:rPr>
          <w:rFonts w:ascii="Verdana" w:hAnsi="Verdana"/>
          <w:sz w:val="16"/>
          <w:szCs w:val="16"/>
        </w:rPr>
        <w:t>, como resulta de la práctica seguida por los órganos de la OEA”. […] “</w:t>
      </w:r>
      <w:r w:rsidRPr="002F649F">
        <w:rPr>
          <w:rFonts w:ascii="Verdana" w:hAnsi="Verdana"/>
          <w:i/>
          <w:sz w:val="16"/>
          <w:szCs w:val="16"/>
        </w:rPr>
        <w:t>45. Para los Estados Miembros de la Organización, la Declaración es el texto que determina cuáles son los derechos humanos a que se refiere la Carta.</w:t>
      </w:r>
      <w:r w:rsidRPr="002F649F">
        <w:rPr>
          <w:rFonts w:ascii="Verdana" w:hAnsi="Verdana"/>
          <w:sz w:val="16"/>
          <w:szCs w:val="16"/>
        </w:rPr>
        <w:t xml:space="preserve"> De otra parte, los artículos 1.2.b) y 20 del Estatuto de la Comisión definen, igualmente, la competencia de la misma respecto de los derechos humanos enunciados en la Declaración. Es decir, para estos Estados la Declaración Americana constituye, en lo pertinente y en relación con la Carta de la Organización, una fuente de obligaciones internacionales”. </w:t>
      </w:r>
      <w:r w:rsidRPr="002F649F">
        <w:rPr>
          <w:rFonts w:ascii="Verdana" w:hAnsi="Verdana" w:cs="Verdana"/>
          <w:bCs/>
          <w:sz w:val="16"/>
          <w:szCs w:val="16"/>
        </w:rPr>
        <w:t>Corte IDH</w:t>
      </w:r>
      <w:r w:rsidRPr="002F649F">
        <w:rPr>
          <w:rFonts w:ascii="Verdana" w:hAnsi="Verdana" w:cs="Verdana"/>
          <w:bCs/>
          <w:i/>
          <w:sz w:val="16"/>
          <w:szCs w:val="16"/>
        </w:rPr>
        <w:t>. Interpretación de la Declaración Americana de los Derechos y Deberes del Hombre en el marco del artículo 64 de la Convención Americana sobre Derechos Humanos</w:t>
      </w:r>
      <w:r w:rsidRPr="002F649F">
        <w:rPr>
          <w:rFonts w:ascii="Verdana" w:hAnsi="Verdana" w:cs="Verdana"/>
          <w:bCs/>
          <w:sz w:val="16"/>
          <w:szCs w:val="16"/>
        </w:rPr>
        <w:t xml:space="preserve">. Opinión Consultiva OC-10/89 de 14 de julio de 1989. Serie A No. 10, párr. 43 y 45. Sin embargo, cabe destacar que el </w:t>
      </w:r>
      <w:r w:rsidRPr="002F649F">
        <w:rPr>
          <w:rFonts w:ascii="Verdana" w:hAnsi="Verdana" w:cs="Verdana"/>
          <w:bCs/>
          <w:i/>
          <w:sz w:val="16"/>
          <w:szCs w:val="16"/>
        </w:rPr>
        <w:t>derecho a la vivienda</w:t>
      </w:r>
      <w:r w:rsidRPr="002F649F">
        <w:rPr>
          <w:rFonts w:ascii="Verdana" w:hAnsi="Verdana" w:cs="Verdana"/>
          <w:bCs/>
          <w:sz w:val="16"/>
          <w:szCs w:val="16"/>
        </w:rPr>
        <w:t xml:space="preserve"> tampoco se encuentra plasmado de forma explícita en la Declaración Americana, si bien se puede entender contenido en el artículo XI sobre “derecho a la preservación de la salud y al bienestar” donde se menciona, entre otros, a </w:t>
      </w:r>
      <w:r w:rsidRPr="002F649F">
        <w:rPr>
          <w:rFonts w:ascii="Verdana" w:hAnsi="Verdana" w:cs="Verdana"/>
          <w:bCs/>
          <w:i/>
          <w:sz w:val="16"/>
          <w:szCs w:val="16"/>
        </w:rPr>
        <w:t>la vivienda</w:t>
      </w:r>
      <w:r w:rsidRPr="002F649F">
        <w:rPr>
          <w:rFonts w:ascii="Verdana" w:hAnsi="Verdana" w:cs="Verdana"/>
          <w:bCs/>
          <w:sz w:val="16"/>
          <w:szCs w:val="16"/>
        </w:rPr>
        <w:t>. Es por ello que resulta de vital importancia su derivación de la Carta de la OEA, como veremos más adelante.</w:t>
      </w:r>
    </w:p>
    <w:p w14:paraId="18A3DC34" w14:textId="77777777" w:rsidR="0046241E" w:rsidRPr="00AF6E46" w:rsidRDefault="0046241E" w:rsidP="002F649F">
      <w:pPr>
        <w:pStyle w:val="ListParagraph"/>
        <w:ind w:left="0"/>
        <w:jc w:val="both"/>
        <w:rPr>
          <w:rFonts w:ascii="Verdana" w:hAnsi="Verdana" w:cs="Verdana"/>
          <w:bCs/>
          <w:sz w:val="16"/>
          <w:szCs w:val="16"/>
        </w:rPr>
      </w:pPr>
    </w:p>
  </w:footnote>
  <w:footnote w:id="6">
    <w:p w14:paraId="0788CBDF" w14:textId="18D92AD5" w:rsidR="0046241E" w:rsidRPr="002F649F" w:rsidRDefault="0046241E" w:rsidP="002F649F">
      <w:pPr>
        <w:pStyle w:val="FootnoteText"/>
        <w:jc w:val="both"/>
        <w:rPr>
          <w:rFonts w:ascii="Verdana" w:hAnsi="Verdana" w:cs="Verdana"/>
          <w:bCs/>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cs="Verdana"/>
          <w:bCs/>
          <w:sz w:val="16"/>
          <w:szCs w:val="16"/>
        </w:rPr>
        <w:t xml:space="preserve">Corte IDH. </w:t>
      </w:r>
      <w:r w:rsidRPr="002F649F">
        <w:rPr>
          <w:rFonts w:ascii="Verdana" w:hAnsi="Verdana" w:cs="Verdana"/>
          <w:bCs/>
          <w:i/>
          <w:sz w:val="16"/>
          <w:szCs w:val="16"/>
        </w:rPr>
        <w:t>Caso Acevedo Buendía y otros (“Cesantes y Jubilados de la Contraloría”) Vs. Perú. Excepción Preliminar, Fondo, Reparaciones y Costas.</w:t>
      </w:r>
      <w:r w:rsidRPr="002F649F">
        <w:rPr>
          <w:rFonts w:ascii="Verdana" w:hAnsi="Verdana" w:cs="Verdana"/>
          <w:bCs/>
          <w:sz w:val="16"/>
          <w:szCs w:val="16"/>
        </w:rPr>
        <w:t xml:space="preserve"> Sentencia de 1 de julio de 2009. Serie C No. 198, </w:t>
      </w:r>
      <w:proofErr w:type="spellStart"/>
      <w:r w:rsidRPr="002F649F">
        <w:rPr>
          <w:rFonts w:ascii="Verdana" w:hAnsi="Verdana" w:cs="Verdana"/>
          <w:bCs/>
          <w:sz w:val="16"/>
          <w:szCs w:val="16"/>
        </w:rPr>
        <w:t>párrs</w:t>
      </w:r>
      <w:proofErr w:type="spellEnd"/>
      <w:r w:rsidRPr="002F649F">
        <w:rPr>
          <w:rFonts w:ascii="Verdana" w:hAnsi="Verdana" w:cs="Verdana"/>
          <w:bCs/>
          <w:sz w:val="16"/>
          <w:szCs w:val="16"/>
        </w:rPr>
        <w:t xml:space="preserve">. 100, 101 y 102. </w:t>
      </w:r>
    </w:p>
    <w:p w14:paraId="1C8C3A86" w14:textId="77777777" w:rsidR="0046241E" w:rsidRPr="002F649F" w:rsidRDefault="0046241E" w:rsidP="002F649F">
      <w:pPr>
        <w:pStyle w:val="FootnoteText"/>
        <w:jc w:val="both"/>
        <w:rPr>
          <w:rFonts w:ascii="Verdana" w:hAnsi="Verdana" w:cs="Verdana"/>
          <w:bCs/>
          <w:sz w:val="16"/>
          <w:szCs w:val="16"/>
        </w:rPr>
      </w:pPr>
    </w:p>
  </w:footnote>
  <w:footnote w:id="7">
    <w:p w14:paraId="1C014C2F" w14:textId="6904259E"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Corte IDH. </w:t>
      </w:r>
      <w:r w:rsidRPr="002F649F">
        <w:rPr>
          <w:rFonts w:ascii="Verdana" w:hAnsi="Verdana"/>
          <w:i/>
          <w:sz w:val="16"/>
          <w:szCs w:val="16"/>
        </w:rPr>
        <w:t>Caso Acevedo Buendía y otros (“Cesantes y Jubilados de la Contraloría”) Vs. Perú. Excepción Preliminar, Fondo, Reparaciones y Costas</w:t>
      </w:r>
      <w:r w:rsidRPr="002F649F">
        <w:rPr>
          <w:rFonts w:ascii="Verdana" w:hAnsi="Verdana"/>
          <w:sz w:val="16"/>
          <w:szCs w:val="16"/>
        </w:rPr>
        <w:t>. Sentencia de 1 de julio de 2009. Serie C No. 198, párr. 17.</w:t>
      </w:r>
    </w:p>
    <w:p w14:paraId="4AADE41F" w14:textId="77777777" w:rsidR="0046241E" w:rsidRPr="002F649F" w:rsidRDefault="0046241E" w:rsidP="002F649F">
      <w:pPr>
        <w:pStyle w:val="FootnoteText"/>
        <w:jc w:val="both"/>
        <w:rPr>
          <w:rFonts w:ascii="Verdana" w:hAnsi="Verdana"/>
          <w:sz w:val="16"/>
          <w:szCs w:val="16"/>
          <w:lang w:val="es-CR"/>
        </w:rPr>
      </w:pPr>
    </w:p>
  </w:footnote>
  <w:footnote w:id="8">
    <w:p w14:paraId="30B4B4EB" w14:textId="5E4CFA1B" w:rsidR="0046241E" w:rsidRPr="002F649F" w:rsidRDefault="0046241E" w:rsidP="002F649F">
      <w:pPr>
        <w:pStyle w:val="FootnoteText"/>
        <w:tabs>
          <w:tab w:val="left" w:pos="709"/>
          <w:tab w:val="left" w:pos="9356"/>
        </w:tabs>
        <w:ind w:right="4"/>
        <w:jc w:val="both"/>
        <w:rPr>
          <w:rFonts w:ascii="Verdana" w:hAnsi="Verdana" w:cs="Verdana"/>
          <w:bCs/>
          <w:sz w:val="16"/>
          <w:szCs w:val="16"/>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r>
      <w:r w:rsidRPr="002F649F">
        <w:rPr>
          <w:rFonts w:ascii="Verdana" w:hAnsi="Verdana"/>
          <w:i/>
          <w:sz w:val="16"/>
          <w:szCs w:val="16"/>
          <w:lang w:val="es-ES_tradnl"/>
        </w:rPr>
        <w:t>Cfr.</w:t>
      </w:r>
      <w:r w:rsidRPr="002F649F">
        <w:rPr>
          <w:rFonts w:ascii="Verdana" w:hAnsi="Verdana"/>
          <w:sz w:val="16"/>
          <w:szCs w:val="16"/>
          <w:lang w:val="es-ES_tradnl"/>
        </w:rPr>
        <w:t xml:space="preserve"> </w:t>
      </w:r>
      <w:r w:rsidRPr="002F649F">
        <w:rPr>
          <w:rFonts w:ascii="Verdana" w:hAnsi="Verdana" w:cs="Verdana"/>
          <w:bCs/>
          <w:sz w:val="16"/>
          <w:szCs w:val="16"/>
        </w:rPr>
        <w:t xml:space="preserve">Corte IDH. </w:t>
      </w:r>
      <w:r w:rsidRPr="002F649F">
        <w:rPr>
          <w:rFonts w:ascii="Verdana" w:hAnsi="Verdana" w:cs="Verdana"/>
          <w:bCs/>
          <w:i/>
          <w:sz w:val="16"/>
          <w:szCs w:val="16"/>
        </w:rPr>
        <w:t>Caso Acevedo Buendía y otros (“Cesantes y Jubilados de la Contraloría”) Vs. Perú. Excepción Preliminar, Fondo, Reparaciones y Costas.</w:t>
      </w:r>
      <w:r w:rsidRPr="002F649F">
        <w:rPr>
          <w:rFonts w:ascii="Verdana" w:hAnsi="Verdana" w:cs="Verdana"/>
          <w:bCs/>
          <w:sz w:val="16"/>
          <w:szCs w:val="16"/>
        </w:rPr>
        <w:t xml:space="preserve"> Sentencia de 1 de julio de 2009. Serie C No. 198, párr. 101. </w:t>
      </w:r>
    </w:p>
    <w:p w14:paraId="0C155102" w14:textId="77777777" w:rsidR="0046241E" w:rsidRPr="002F649F" w:rsidRDefault="0046241E" w:rsidP="002F649F">
      <w:pPr>
        <w:pStyle w:val="FootnoteText"/>
        <w:tabs>
          <w:tab w:val="left" w:pos="709"/>
          <w:tab w:val="left" w:pos="9356"/>
        </w:tabs>
        <w:ind w:right="4"/>
        <w:jc w:val="both"/>
        <w:rPr>
          <w:rFonts w:ascii="Verdana" w:hAnsi="Verdana" w:cs="Verdana"/>
          <w:bCs/>
          <w:sz w:val="16"/>
          <w:szCs w:val="16"/>
        </w:rPr>
      </w:pPr>
    </w:p>
  </w:footnote>
  <w:footnote w:id="9">
    <w:p w14:paraId="10F608DF" w14:textId="5F241DED" w:rsidR="0046241E" w:rsidRPr="002F649F" w:rsidRDefault="0046241E" w:rsidP="002F649F">
      <w:pPr>
        <w:pStyle w:val="FootnoteText"/>
        <w:tabs>
          <w:tab w:val="left" w:pos="709"/>
          <w:tab w:val="left" w:pos="9356"/>
        </w:tabs>
        <w:ind w:right="6"/>
        <w:jc w:val="both"/>
        <w:rPr>
          <w:rFonts w:ascii="Verdana" w:hAnsi="Verdana"/>
          <w:sz w:val="16"/>
          <w:szCs w:val="16"/>
          <w:lang w:val="es-ES_tradnl"/>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r>
      <w:r w:rsidRPr="002F649F">
        <w:rPr>
          <w:rFonts w:ascii="Verdana" w:hAnsi="Verdana" w:cs="Verdana"/>
          <w:bCs/>
          <w:sz w:val="16"/>
          <w:szCs w:val="16"/>
        </w:rPr>
        <w:t>Corte IDH. C</w:t>
      </w:r>
      <w:r w:rsidRPr="002F649F">
        <w:rPr>
          <w:rFonts w:ascii="Verdana" w:hAnsi="Verdana" w:cs="Verdana"/>
          <w:bCs/>
          <w:i/>
          <w:sz w:val="16"/>
          <w:szCs w:val="16"/>
        </w:rPr>
        <w:t>aso Suárez Peralta Vs. Ecuador. Excepciones Preliminares, Fondo, Reparaciones y Costas.</w:t>
      </w:r>
      <w:r w:rsidRPr="002F649F">
        <w:rPr>
          <w:rFonts w:ascii="Verdana" w:hAnsi="Verdana" w:cs="Verdana"/>
          <w:bCs/>
          <w:sz w:val="16"/>
          <w:szCs w:val="16"/>
        </w:rPr>
        <w:t xml:space="preserve"> Sentencia de 21 de mayo de 2013. Serie C No. </w:t>
      </w:r>
      <w:proofErr w:type="gramStart"/>
      <w:r w:rsidRPr="002F649F">
        <w:rPr>
          <w:rFonts w:ascii="Verdana" w:hAnsi="Verdana" w:cs="Verdana"/>
          <w:bCs/>
          <w:sz w:val="16"/>
          <w:szCs w:val="16"/>
        </w:rPr>
        <w:t xml:space="preserve">261 </w:t>
      </w:r>
      <w:r w:rsidRPr="002F649F">
        <w:rPr>
          <w:rFonts w:ascii="Verdana" w:hAnsi="Verdana"/>
          <w:sz w:val="16"/>
          <w:szCs w:val="16"/>
          <w:lang w:val="es-ES_tradnl"/>
        </w:rPr>
        <w:t>,</w:t>
      </w:r>
      <w:proofErr w:type="gramEnd"/>
      <w:r w:rsidRPr="002F649F">
        <w:rPr>
          <w:rFonts w:ascii="Verdana" w:hAnsi="Verdana"/>
          <w:sz w:val="16"/>
          <w:szCs w:val="16"/>
          <w:lang w:val="es-ES_tradnl"/>
        </w:rPr>
        <w:t xml:space="preserve"> párr. 131. </w:t>
      </w:r>
    </w:p>
    <w:p w14:paraId="28D161BD" w14:textId="77777777" w:rsidR="0046241E" w:rsidRPr="002F649F" w:rsidRDefault="0046241E" w:rsidP="002F649F">
      <w:pPr>
        <w:pStyle w:val="FootnoteText"/>
        <w:tabs>
          <w:tab w:val="left" w:pos="709"/>
          <w:tab w:val="left" w:pos="9356"/>
        </w:tabs>
        <w:ind w:right="6"/>
        <w:jc w:val="both"/>
        <w:rPr>
          <w:rFonts w:ascii="Verdana" w:hAnsi="Verdana"/>
          <w:sz w:val="16"/>
          <w:szCs w:val="16"/>
          <w:lang w:val="es-ES_tradnl"/>
        </w:rPr>
      </w:pPr>
    </w:p>
  </w:footnote>
  <w:footnote w:id="10">
    <w:p w14:paraId="3F4C27E3" w14:textId="70E846A0" w:rsidR="0046241E" w:rsidRPr="002F649F" w:rsidRDefault="0046241E" w:rsidP="002F649F">
      <w:pPr>
        <w:pStyle w:val="FootnoteText"/>
        <w:jc w:val="both"/>
        <w:rPr>
          <w:rFonts w:ascii="Verdana" w:hAnsi="Verdana"/>
          <w:sz w:val="16"/>
          <w:szCs w:val="16"/>
          <w:lang w:val="es-ES_tradnl"/>
        </w:rPr>
      </w:pPr>
      <w:r w:rsidRPr="002F649F">
        <w:rPr>
          <w:rStyle w:val="FootnoteReference"/>
          <w:rFonts w:ascii="Verdana" w:hAnsi="Verdana"/>
          <w:sz w:val="16"/>
          <w:szCs w:val="16"/>
          <w:lang w:val="es-ES_tradnl"/>
        </w:rPr>
        <w:footnoteRef/>
      </w:r>
      <w:r>
        <w:rPr>
          <w:rFonts w:ascii="Verdana" w:hAnsi="Verdana"/>
          <w:sz w:val="16"/>
          <w:szCs w:val="16"/>
          <w:lang w:val="es-ES_tradnl"/>
        </w:rPr>
        <w:t xml:space="preserve"> </w:t>
      </w:r>
      <w:r>
        <w:rPr>
          <w:rFonts w:ascii="Verdana" w:hAnsi="Verdana"/>
          <w:sz w:val="16"/>
          <w:szCs w:val="16"/>
          <w:lang w:val="es-ES_tradnl"/>
        </w:rPr>
        <w:tab/>
        <w:t>Véase el párr. 24 en el V</w:t>
      </w:r>
      <w:r w:rsidRPr="002F649F">
        <w:rPr>
          <w:rFonts w:ascii="Verdana" w:hAnsi="Verdana"/>
          <w:sz w:val="16"/>
          <w:szCs w:val="16"/>
          <w:lang w:val="es-ES_tradnl"/>
        </w:rPr>
        <w:t>oto emitido al caso</w:t>
      </w:r>
      <w:r w:rsidRPr="002F649F">
        <w:rPr>
          <w:rFonts w:ascii="Verdana" w:hAnsi="Verdana" w:cs="Verdana"/>
          <w:bCs/>
          <w:sz w:val="16"/>
          <w:szCs w:val="16"/>
        </w:rPr>
        <w:t xml:space="preserve"> </w:t>
      </w:r>
      <w:r w:rsidRPr="002F649F">
        <w:rPr>
          <w:rFonts w:ascii="Verdana" w:hAnsi="Verdana" w:cs="Verdana"/>
          <w:bCs/>
          <w:i/>
          <w:sz w:val="16"/>
          <w:szCs w:val="16"/>
        </w:rPr>
        <w:t>Suárez Peralta Vs. Ecuador. Excepciones Preliminares, Fondo, Reparaciones y Costas</w:t>
      </w:r>
      <w:r w:rsidRPr="002F649F">
        <w:rPr>
          <w:rFonts w:ascii="Verdana" w:hAnsi="Verdana" w:cs="Verdana"/>
          <w:bCs/>
          <w:sz w:val="16"/>
          <w:szCs w:val="16"/>
        </w:rPr>
        <w:t xml:space="preserve">. Sentencia de 21 de mayo de 2013. Serie C No. 261. </w:t>
      </w:r>
      <w:r w:rsidRPr="002F649F">
        <w:rPr>
          <w:rFonts w:ascii="Verdana" w:hAnsi="Verdana"/>
          <w:sz w:val="16"/>
          <w:szCs w:val="16"/>
          <w:lang w:val="es-ES_tradnl"/>
        </w:rPr>
        <w:t xml:space="preserve"> </w:t>
      </w:r>
    </w:p>
    <w:p w14:paraId="039F695A" w14:textId="77777777" w:rsidR="0046241E" w:rsidRPr="002F649F" w:rsidRDefault="0046241E" w:rsidP="002F649F">
      <w:pPr>
        <w:pStyle w:val="FootnoteText"/>
        <w:jc w:val="both"/>
        <w:rPr>
          <w:rFonts w:ascii="Verdana" w:hAnsi="Verdana"/>
          <w:sz w:val="16"/>
          <w:szCs w:val="16"/>
          <w:lang w:val="es-ES_tradnl"/>
        </w:rPr>
      </w:pPr>
    </w:p>
  </w:footnote>
  <w:footnote w:id="11">
    <w:p w14:paraId="727DFFF7" w14:textId="2D4F4C36" w:rsidR="0046241E" w:rsidRPr="002F649F" w:rsidRDefault="0046241E" w:rsidP="002F649F">
      <w:pPr>
        <w:pStyle w:val="FootnoteText"/>
        <w:tabs>
          <w:tab w:val="left" w:pos="709"/>
          <w:tab w:val="left" w:pos="8647"/>
          <w:tab w:val="left" w:pos="9356"/>
        </w:tabs>
        <w:ind w:right="4"/>
        <w:jc w:val="both"/>
        <w:rPr>
          <w:rFonts w:ascii="Verdana" w:hAnsi="Verdana"/>
          <w:sz w:val="16"/>
          <w:szCs w:val="16"/>
          <w:lang w:val="es-ES_tradnl"/>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t xml:space="preserve">Véase el Preámbulo de la Convención Americana sobre Derechos Humanos, del Pacto Internacional de Derechos Civiles y Políticos, y del Pacto Internacional de Derechos Económicos, Sociales y Culturales. Proclamación de Teherán 1948, párr. 13. </w:t>
      </w:r>
    </w:p>
    <w:p w14:paraId="1599656F" w14:textId="77777777" w:rsidR="0046241E" w:rsidRPr="002F649F" w:rsidRDefault="0046241E" w:rsidP="002F649F">
      <w:pPr>
        <w:pStyle w:val="FootnoteText"/>
        <w:tabs>
          <w:tab w:val="left" w:pos="709"/>
          <w:tab w:val="left" w:pos="8647"/>
          <w:tab w:val="left" w:pos="9356"/>
        </w:tabs>
        <w:ind w:right="4"/>
        <w:jc w:val="both"/>
        <w:rPr>
          <w:rFonts w:ascii="Verdana" w:hAnsi="Verdana"/>
          <w:sz w:val="16"/>
          <w:szCs w:val="16"/>
          <w:lang w:val="es-ES_tradnl"/>
        </w:rPr>
      </w:pPr>
    </w:p>
  </w:footnote>
  <w:footnote w:id="12">
    <w:p w14:paraId="66D19C37" w14:textId="77777777" w:rsidR="0046241E" w:rsidRPr="002F649F" w:rsidRDefault="0046241E" w:rsidP="002F649F">
      <w:pPr>
        <w:pStyle w:val="FootnoteText"/>
        <w:tabs>
          <w:tab w:val="left" w:pos="709"/>
          <w:tab w:val="left" w:pos="8647"/>
          <w:tab w:val="left" w:pos="9356"/>
        </w:tabs>
        <w:ind w:right="4"/>
        <w:jc w:val="both"/>
        <w:rPr>
          <w:rFonts w:ascii="Verdana" w:hAnsi="Verdana"/>
          <w:sz w:val="16"/>
          <w:szCs w:val="16"/>
          <w:lang w:val="es-ES_tradnl"/>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r>
      <w:r w:rsidRPr="002F649F">
        <w:rPr>
          <w:rFonts w:ascii="Verdana" w:hAnsi="Verdana"/>
          <w:i/>
          <w:sz w:val="16"/>
          <w:szCs w:val="16"/>
          <w:lang w:val="es-ES_tradnl"/>
        </w:rPr>
        <w:t>Cfr.</w:t>
      </w:r>
      <w:r w:rsidRPr="002F649F">
        <w:rPr>
          <w:rFonts w:ascii="Verdana" w:hAnsi="Verdana"/>
          <w:sz w:val="16"/>
          <w:szCs w:val="16"/>
          <w:lang w:val="es-ES_tradnl"/>
        </w:rPr>
        <w:t xml:space="preserve"> Resolución 32/130 de la Asamblea General de Naciones Unidas, de 16 de septiembre de 1977, inciso 1, apartado a); Declaración sobre el derecho al Desarrollo Asamblea General en su resolución 41/128, de 4 de diciembre de 1986, párr. 10 del preámbulo y art. 6; Principios de Limburgo de 1986, en especial el núm. 3, y las Directrices de </w:t>
      </w:r>
      <w:proofErr w:type="spellStart"/>
      <w:r w:rsidRPr="002F649F">
        <w:rPr>
          <w:rFonts w:ascii="Verdana" w:hAnsi="Verdana"/>
          <w:sz w:val="16"/>
          <w:szCs w:val="16"/>
          <w:lang w:val="es-ES_tradnl"/>
        </w:rPr>
        <w:t>Maastritch</w:t>
      </w:r>
      <w:proofErr w:type="spellEnd"/>
      <w:r w:rsidRPr="002F649F">
        <w:rPr>
          <w:rFonts w:ascii="Verdana" w:hAnsi="Verdana"/>
          <w:sz w:val="16"/>
          <w:szCs w:val="16"/>
          <w:lang w:val="es-ES_tradnl"/>
        </w:rPr>
        <w:t xml:space="preserve"> sobre violaciones a los DESC de 1997, particularmente la núm. 3. </w:t>
      </w:r>
    </w:p>
    <w:p w14:paraId="38D50E98" w14:textId="77777777" w:rsidR="0046241E" w:rsidRPr="002F649F" w:rsidRDefault="0046241E" w:rsidP="002F649F">
      <w:pPr>
        <w:pStyle w:val="FootnoteText"/>
        <w:tabs>
          <w:tab w:val="left" w:pos="709"/>
          <w:tab w:val="left" w:pos="8647"/>
          <w:tab w:val="left" w:pos="9356"/>
        </w:tabs>
        <w:ind w:right="4"/>
        <w:jc w:val="both"/>
        <w:rPr>
          <w:rFonts w:ascii="Verdana" w:hAnsi="Verdana"/>
          <w:sz w:val="16"/>
          <w:szCs w:val="16"/>
          <w:u w:val="single"/>
          <w:lang w:val="es-ES_tradnl"/>
        </w:rPr>
      </w:pPr>
    </w:p>
  </w:footnote>
  <w:footnote w:id="13">
    <w:p w14:paraId="76AAEB29" w14:textId="3CD29C13" w:rsidR="0046241E" w:rsidRDefault="0046241E" w:rsidP="002F649F">
      <w:pPr>
        <w:pStyle w:val="FootnoteText"/>
        <w:jc w:val="both"/>
        <w:rPr>
          <w:rFonts w:ascii="Verdana" w:hAnsi="Verdana"/>
          <w:sz w:val="16"/>
          <w:szCs w:val="16"/>
          <w:lang w:val="es-ES_tradnl"/>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sz w:val="16"/>
          <w:szCs w:val="16"/>
          <w:lang w:val="es-ES_tradnl"/>
        </w:rPr>
        <w:t>Véase mi Voto Concurrente respecto de la Sentencia de la Corte en el caso</w:t>
      </w:r>
      <w:r w:rsidRPr="002F649F">
        <w:rPr>
          <w:rFonts w:ascii="Verdana" w:hAnsi="Verdana" w:cs="Verdana"/>
          <w:bCs/>
          <w:sz w:val="16"/>
          <w:szCs w:val="16"/>
        </w:rPr>
        <w:t xml:space="preserve"> </w:t>
      </w:r>
      <w:r w:rsidRPr="002F649F">
        <w:rPr>
          <w:rFonts w:ascii="Verdana" w:hAnsi="Verdana" w:cs="Verdana"/>
          <w:bCs/>
          <w:i/>
          <w:sz w:val="16"/>
          <w:szCs w:val="16"/>
        </w:rPr>
        <w:t>Suárez Peralta Vs. Ecuador. Excepciones Preliminares, Fondo, Reparaciones y Costas</w:t>
      </w:r>
      <w:r w:rsidRPr="002F649F">
        <w:rPr>
          <w:rFonts w:ascii="Verdana" w:hAnsi="Verdana" w:cs="Verdana"/>
          <w:bCs/>
          <w:sz w:val="16"/>
          <w:szCs w:val="16"/>
        </w:rPr>
        <w:t>. Sentencia de 21 de mayo de 2013. Serie C No. 261, párr. 27.</w:t>
      </w:r>
      <w:r w:rsidRPr="002F649F">
        <w:rPr>
          <w:rFonts w:ascii="Verdana" w:hAnsi="Verdana"/>
          <w:sz w:val="16"/>
          <w:szCs w:val="16"/>
          <w:lang w:val="es-ES_tradnl"/>
        </w:rPr>
        <w:t xml:space="preserve"> </w:t>
      </w:r>
    </w:p>
    <w:p w14:paraId="61438710" w14:textId="77777777" w:rsidR="0046241E" w:rsidRPr="002F649F" w:rsidRDefault="0046241E" w:rsidP="002F649F">
      <w:pPr>
        <w:pStyle w:val="FootnoteText"/>
        <w:jc w:val="both"/>
        <w:rPr>
          <w:rFonts w:ascii="Verdana" w:hAnsi="Verdana"/>
          <w:sz w:val="16"/>
          <w:szCs w:val="16"/>
          <w:lang w:val="es-ES_tradnl"/>
        </w:rPr>
      </w:pPr>
    </w:p>
  </w:footnote>
  <w:footnote w:id="14">
    <w:p w14:paraId="6217B065" w14:textId="31E2F7C3"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lang w:val="es-ES_tradnl"/>
        </w:rPr>
        <w:tab/>
      </w:r>
      <w:r w:rsidRPr="00AF6E46">
        <w:rPr>
          <w:rFonts w:ascii="Verdana" w:hAnsi="Verdana"/>
          <w:sz w:val="16"/>
          <w:szCs w:val="16"/>
        </w:rPr>
        <w:t>Voto Concurrente</w:t>
      </w:r>
      <w:r w:rsidRPr="002F649F">
        <w:rPr>
          <w:rFonts w:ascii="Verdana" w:hAnsi="Verdana"/>
          <w:sz w:val="16"/>
          <w:szCs w:val="16"/>
        </w:rPr>
        <w:t xml:space="preserve"> respecto de la Sentencia de la Corte en el caso</w:t>
      </w:r>
      <w:r w:rsidRPr="002F649F">
        <w:rPr>
          <w:rFonts w:ascii="Verdana" w:hAnsi="Verdana"/>
          <w:i/>
          <w:sz w:val="16"/>
          <w:szCs w:val="16"/>
        </w:rPr>
        <w:t xml:space="preserve"> Suárez Peralta Vs. Ecuador</w:t>
      </w:r>
      <w:r w:rsidRPr="002F649F">
        <w:rPr>
          <w:rFonts w:ascii="Verdana" w:hAnsi="Verdana"/>
          <w:sz w:val="16"/>
          <w:szCs w:val="16"/>
        </w:rPr>
        <w:t xml:space="preserve"> (</w:t>
      </w:r>
      <w:r w:rsidRPr="002F649F">
        <w:rPr>
          <w:rFonts w:ascii="Verdana" w:hAnsi="Verdana"/>
          <w:i/>
          <w:sz w:val="16"/>
          <w:szCs w:val="16"/>
        </w:rPr>
        <w:t>Excepciones Preliminares, Fondo, Reparaciones y Costas.</w:t>
      </w:r>
      <w:r w:rsidRPr="002F649F">
        <w:rPr>
          <w:rFonts w:ascii="Verdana" w:hAnsi="Verdana"/>
          <w:sz w:val="16"/>
          <w:szCs w:val="16"/>
        </w:rPr>
        <w:t xml:space="preserve"> Sentencia de 21 de mayo de 2013. Serie C No. 261), párr. 69.</w:t>
      </w:r>
    </w:p>
    <w:p w14:paraId="609DAAB1" w14:textId="77777777" w:rsidR="0046241E" w:rsidRPr="002F649F" w:rsidRDefault="0046241E" w:rsidP="002F649F">
      <w:pPr>
        <w:pStyle w:val="FootnoteText"/>
        <w:jc w:val="both"/>
        <w:rPr>
          <w:rFonts w:ascii="Verdana" w:hAnsi="Verdana"/>
          <w:sz w:val="16"/>
          <w:szCs w:val="16"/>
          <w:lang w:val="es-ES_tradnl"/>
        </w:rPr>
      </w:pPr>
    </w:p>
  </w:footnote>
  <w:footnote w:id="15">
    <w:p w14:paraId="079D9090" w14:textId="752D51D9"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Sobre el particular, véanse las partes conducentes en mis </w:t>
      </w:r>
      <w:r w:rsidRPr="00DC791E">
        <w:rPr>
          <w:rFonts w:ascii="Verdana" w:hAnsi="Verdana"/>
          <w:sz w:val="16"/>
          <w:szCs w:val="16"/>
        </w:rPr>
        <w:t>Votos Concurrentes</w:t>
      </w:r>
      <w:r w:rsidRPr="002F649F">
        <w:rPr>
          <w:rFonts w:ascii="Verdana" w:hAnsi="Verdana"/>
          <w:sz w:val="16"/>
          <w:szCs w:val="16"/>
        </w:rPr>
        <w:t xml:space="preserve"> a las Sentencias emitidas por la Corte IDH en </w:t>
      </w:r>
      <w:proofErr w:type="gramStart"/>
      <w:r w:rsidRPr="002F649F">
        <w:rPr>
          <w:rFonts w:ascii="Verdana" w:hAnsi="Verdana"/>
          <w:sz w:val="16"/>
          <w:szCs w:val="16"/>
        </w:rPr>
        <w:t xml:space="preserve">los casos señalados </w:t>
      </w:r>
      <w:r w:rsidRPr="00AF6E46">
        <w:rPr>
          <w:rFonts w:ascii="Verdana" w:hAnsi="Verdana"/>
          <w:i/>
          <w:sz w:val="16"/>
          <w:szCs w:val="16"/>
        </w:rPr>
        <w:t>supra</w:t>
      </w:r>
      <w:r w:rsidRPr="00AF6E46">
        <w:rPr>
          <w:rFonts w:ascii="Verdana" w:hAnsi="Verdana"/>
          <w:sz w:val="16"/>
          <w:szCs w:val="16"/>
        </w:rPr>
        <w:t>, nota</w:t>
      </w:r>
      <w:proofErr w:type="gramEnd"/>
      <w:r w:rsidRPr="00AF6E46">
        <w:rPr>
          <w:rFonts w:ascii="Verdana" w:hAnsi="Verdana"/>
          <w:sz w:val="16"/>
          <w:szCs w:val="16"/>
        </w:rPr>
        <w:t xml:space="preserve"> al pie 4 del presente voto.</w:t>
      </w:r>
    </w:p>
    <w:p w14:paraId="1BAA4176" w14:textId="77777777" w:rsidR="0046241E" w:rsidRPr="002F649F" w:rsidRDefault="0046241E" w:rsidP="002F649F">
      <w:pPr>
        <w:pStyle w:val="FootnoteText"/>
        <w:jc w:val="both"/>
        <w:rPr>
          <w:rFonts w:ascii="Verdana" w:hAnsi="Verdana"/>
          <w:sz w:val="16"/>
          <w:szCs w:val="16"/>
        </w:rPr>
      </w:pPr>
    </w:p>
  </w:footnote>
  <w:footnote w:id="16">
    <w:p w14:paraId="48E1AC91" w14:textId="712CD1BC" w:rsidR="0046241E" w:rsidRPr="00A7488E"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Adoptada el 23 de mayo de 1969, entró en vigor el 27 de enero de 1980. </w:t>
      </w:r>
      <w:r w:rsidRPr="002F649F">
        <w:rPr>
          <w:rFonts w:ascii="Verdana" w:hAnsi="Verdana"/>
          <w:sz w:val="16"/>
          <w:szCs w:val="16"/>
          <w:lang w:val="es-CR"/>
        </w:rPr>
        <w:t xml:space="preserve">U.N. </w:t>
      </w:r>
      <w:proofErr w:type="spellStart"/>
      <w:r w:rsidRPr="002F649F">
        <w:rPr>
          <w:rFonts w:ascii="Verdana" w:hAnsi="Verdana"/>
          <w:sz w:val="16"/>
          <w:szCs w:val="16"/>
          <w:lang w:val="es-CR"/>
        </w:rPr>
        <w:t>Doc</w:t>
      </w:r>
      <w:proofErr w:type="spellEnd"/>
      <w:r w:rsidRPr="002F649F">
        <w:rPr>
          <w:rFonts w:ascii="Verdana" w:hAnsi="Verdana"/>
          <w:sz w:val="16"/>
          <w:szCs w:val="16"/>
          <w:lang w:val="es-CR"/>
        </w:rPr>
        <w:t xml:space="preserve"> A/CONF.39/27 (1969), 1155 U.N.T.S. 331. El texto del tratado puede ser c</w:t>
      </w:r>
      <w:proofErr w:type="spellStart"/>
      <w:r w:rsidRPr="002F649F">
        <w:rPr>
          <w:rFonts w:ascii="Verdana" w:hAnsi="Verdana"/>
          <w:sz w:val="16"/>
          <w:szCs w:val="16"/>
        </w:rPr>
        <w:t>onsultado</w:t>
      </w:r>
      <w:proofErr w:type="spellEnd"/>
      <w:r w:rsidRPr="002F649F">
        <w:rPr>
          <w:rFonts w:ascii="Verdana" w:hAnsi="Verdana"/>
          <w:sz w:val="16"/>
          <w:szCs w:val="16"/>
        </w:rPr>
        <w:t xml:space="preserve"> en el siguiente sitio de internet: </w:t>
      </w:r>
      <w:hyperlink r:id="rId1" w:history="1">
        <w:r w:rsidRPr="00C066E4">
          <w:rPr>
            <w:rStyle w:val="Hyperlink"/>
            <w:rFonts w:ascii="Verdana" w:hAnsi="Verdana"/>
            <w:color w:val="auto"/>
            <w:sz w:val="16"/>
            <w:szCs w:val="16"/>
            <w:u w:val="none"/>
          </w:rPr>
          <w:t>http://www.oas.org/xxxivga/spanish/reference_docs/Convencion_Viena.pdf</w:t>
        </w:r>
      </w:hyperlink>
      <w:r w:rsidRPr="00C066E4">
        <w:rPr>
          <w:rFonts w:ascii="Verdana" w:hAnsi="Verdana"/>
          <w:sz w:val="16"/>
          <w:szCs w:val="16"/>
        </w:rPr>
        <w:t>.</w:t>
      </w:r>
      <w:r w:rsidRPr="00A7488E">
        <w:rPr>
          <w:rFonts w:ascii="Verdana" w:hAnsi="Verdana"/>
          <w:sz w:val="16"/>
          <w:szCs w:val="16"/>
        </w:rPr>
        <w:t xml:space="preserve"> </w:t>
      </w:r>
    </w:p>
    <w:p w14:paraId="6D9E1AB0" w14:textId="77777777" w:rsidR="0046241E" w:rsidRPr="002F649F" w:rsidRDefault="0046241E" w:rsidP="002F649F">
      <w:pPr>
        <w:pStyle w:val="FootnoteText"/>
        <w:jc w:val="both"/>
        <w:rPr>
          <w:rFonts w:ascii="Verdana" w:hAnsi="Verdana"/>
          <w:sz w:val="16"/>
          <w:szCs w:val="16"/>
        </w:rPr>
      </w:pPr>
    </w:p>
  </w:footnote>
  <w:footnote w:id="17">
    <w:p w14:paraId="41E2C8FB" w14:textId="331F5D38"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Los artículos 31 y 32, relativos a la interpretación de los tratados, dicen: Artículo 31: “Regla general de interpretación. I. Un tratado deberá interpretarse de buena fe conforme al sentido corriente que haya de atribuirse a los términos del tratado en el contexto de estos y teniendo en cuenta su objeto y fin. 2. Para los efectos de la interpretación de un tratado. El contexto comprenderá, además del texto, incluidos su preámbulo y anexos: a) todo acuerdo que se refiera al tratado y haya sido concertado entre todas las partes con motivo de la celebración del tratado: b) todo instrumento formulado por una o más partes con motivo de la celebración del tratado y aceptado por las demás como instrumento referente al tratado; 3. Juntamente con el contexto, habrá de tenerse en cuenta: a) todo acuerdo ulterior entre las partes acerca de la interpretación del tratado o de la aplicación de sus disposiciones: b) toda práctica ulteriormente seguida en la aplicación del tratado por la cual conste el acuerdo de las partes acerca de la interpretación del tratado: c) toda forma pertinente de derecho internacional aplicable en las relaciones entre las partes. 4. Se dará a un término un sentido especial si consta que tal fue la intención de las partes”. Artículo 32: “Medios de interpretación complementarios. Se podrán acudir a medios de interpretación complementarios, en particular a los trabajos preparatorios del tratado y a las circunstancias de su celebración, para confirmar el sentido resultante de la aplicación del artículo 31, o para determinar el sentido cuando la interpretación dada de conformidad con el artículo 31: a) deje ambiguo u oscuro el sentido; o b) conduzca a un resultado manifiestamente absurdo o irrazonable”.</w:t>
      </w:r>
    </w:p>
    <w:p w14:paraId="6572D56F" w14:textId="77777777" w:rsidR="0046241E" w:rsidRPr="002F649F" w:rsidRDefault="0046241E" w:rsidP="002F649F">
      <w:pPr>
        <w:pStyle w:val="FootnoteText"/>
        <w:jc w:val="both"/>
        <w:rPr>
          <w:rFonts w:ascii="Verdana" w:hAnsi="Verdana"/>
          <w:sz w:val="16"/>
          <w:szCs w:val="16"/>
        </w:rPr>
      </w:pPr>
    </w:p>
  </w:footnote>
  <w:footnote w:id="18">
    <w:p w14:paraId="2947BBAC" w14:textId="50FE218E"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Sobre el particular, véanse las partes conducentes en mis </w:t>
      </w:r>
      <w:r w:rsidRPr="00A63FE1">
        <w:rPr>
          <w:rFonts w:ascii="Verdana" w:hAnsi="Verdana"/>
          <w:sz w:val="16"/>
          <w:szCs w:val="16"/>
        </w:rPr>
        <w:t>Votos Concurrentes</w:t>
      </w:r>
      <w:r w:rsidRPr="002F649F">
        <w:rPr>
          <w:rFonts w:ascii="Verdana" w:hAnsi="Verdana"/>
          <w:sz w:val="16"/>
          <w:szCs w:val="16"/>
        </w:rPr>
        <w:t xml:space="preserve"> a las Sentencias emitidas por la Corte IDH en </w:t>
      </w:r>
      <w:proofErr w:type="gramStart"/>
      <w:r w:rsidRPr="002F649F">
        <w:rPr>
          <w:rFonts w:ascii="Verdana" w:hAnsi="Verdana"/>
          <w:sz w:val="16"/>
          <w:szCs w:val="16"/>
        </w:rPr>
        <w:t xml:space="preserve">los casos señalados </w:t>
      </w:r>
      <w:r w:rsidRPr="002F649F">
        <w:rPr>
          <w:rFonts w:ascii="Verdana" w:hAnsi="Verdana"/>
          <w:i/>
          <w:sz w:val="16"/>
          <w:szCs w:val="16"/>
        </w:rPr>
        <w:t>supra</w:t>
      </w:r>
      <w:r w:rsidRPr="002F649F">
        <w:rPr>
          <w:rFonts w:ascii="Verdana" w:hAnsi="Verdana"/>
          <w:sz w:val="16"/>
          <w:szCs w:val="16"/>
        </w:rPr>
        <w:t xml:space="preserve">, </w:t>
      </w:r>
      <w:r w:rsidRPr="00A63FE1">
        <w:rPr>
          <w:rFonts w:ascii="Verdana" w:hAnsi="Verdana"/>
          <w:sz w:val="16"/>
          <w:szCs w:val="16"/>
        </w:rPr>
        <w:t>nota</w:t>
      </w:r>
      <w:proofErr w:type="gramEnd"/>
      <w:r w:rsidRPr="00A63FE1">
        <w:rPr>
          <w:rFonts w:ascii="Verdana" w:hAnsi="Verdana"/>
          <w:sz w:val="16"/>
          <w:szCs w:val="16"/>
        </w:rPr>
        <w:t xml:space="preserve"> a pie 4 del presente voto.</w:t>
      </w:r>
    </w:p>
    <w:p w14:paraId="0172FB24" w14:textId="77777777" w:rsidR="0046241E" w:rsidRPr="002F649F" w:rsidRDefault="0046241E" w:rsidP="002F649F">
      <w:pPr>
        <w:pStyle w:val="FootnoteText"/>
        <w:jc w:val="both"/>
        <w:rPr>
          <w:rFonts w:ascii="Verdana" w:hAnsi="Verdana"/>
          <w:sz w:val="16"/>
          <w:szCs w:val="16"/>
        </w:rPr>
      </w:pPr>
    </w:p>
  </w:footnote>
  <w:footnote w:id="19">
    <w:p w14:paraId="7EC8F59C" w14:textId="78F7C620" w:rsidR="0046241E"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Adoptada el 30 de abril de 1948. Entró en vigor el 13 de diciembre de 1951. Reformada por el Protocolo de Reformas a la Carta de la Organización de los Estados Americanos "Protocolo de Buenos Aires", suscrito el 27 de febrero de 1967, en la Tercera Conferencia Interamericana Extraordinaria; por el Protocolo de Reformas a la Carta de la Organización de los Estados Americanos "Protocolo de Cartagena de Indias", aprobado el 5 de diciembre de 1985, en el decimocuarto período extraordinario de sesiones de la Asamblea General; por el Protocolo de Reformas a la Carta de la Organización de los Estados Americanos "Protocolo de Washington", aprobado el 14 de diciembre de 1992, en el decimosexto período extraordinario de sesiones de la Asamblea General; y por el Protocolo de Reformas a la Carta de la Organización de los Estados Americanos "Protocolo de Managua", adoptado el 10 de junio de 1993, en el decimonoveno período extraordinario de sesiones de la Asamblea General.</w:t>
      </w:r>
    </w:p>
    <w:p w14:paraId="33193233" w14:textId="77777777" w:rsidR="0046241E" w:rsidRPr="002F649F" w:rsidRDefault="0046241E" w:rsidP="002F649F">
      <w:pPr>
        <w:pStyle w:val="FootnoteText"/>
        <w:jc w:val="both"/>
        <w:rPr>
          <w:rFonts w:ascii="Verdana" w:hAnsi="Verdana"/>
          <w:sz w:val="16"/>
          <w:szCs w:val="16"/>
        </w:rPr>
      </w:pPr>
    </w:p>
  </w:footnote>
  <w:footnote w:id="20">
    <w:p w14:paraId="11FDF829" w14:textId="744DD190" w:rsidR="0046241E"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Teniendo en cuenta el artículo 31 de la Convención de Viena sobre el Derecho de los Tratados (transcripto </w:t>
      </w:r>
      <w:r w:rsidRPr="002F649F">
        <w:rPr>
          <w:rFonts w:ascii="Verdana" w:hAnsi="Verdana"/>
          <w:i/>
          <w:sz w:val="16"/>
          <w:szCs w:val="16"/>
        </w:rPr>
        <w:t>supra</w:t>
      </w:r>
      <w:r w:rsidRPr="002F649F">
        <w:rPr>
          <w:rFonts w:ascii="Verdana" w:hAnsi="Verdana"/>
          <w:sz w:val="16"/>
          <w:szCs w:val="16"/>
        </w:rPr>
        <w:t xml:space="preserve">, en </w:t>
      </w:r>
      <w:r w:rsidRPr="00A63FE1">
        <w:rPr>
          <w:rFonts w:ascii="Verdana" w:hAnsi="Verdana"/>
          <w:sz w:val="16"/>
          <w:szCs w:val="16"/>
        </w:rPr>
        <w:t>la nota a pie de página 17 del</w:t>
      </w:r>
      <w:r w:rsidRPr="002F649F">
        <w:rPr>
          <w:rFonts w:ascii="Verdana" w:hAnsi="Verdana"/>
          <w:sz w:val="16"/>
          <w:szCs w:val="16"/>
        </w:rPr>
        <w:t xml:space="preserve"> presente voto), es válido acudir al sentido corriente de las palabras que, además, en este caso, son acordes al entendimiento que mejor propende al objeto y fin de la Convención, que es la protección de los derechos humanos. </w:t>
      </w:r>
    </w:p>
    <w:p w14:paraId="68A7A91D" w14:textId="77777777" w:rsidR="0046241E" w:rsidRPr="002F649F" w:rsidRDefault="0046241E" w:rsidP="002F649F">
      <w:pPr>
        <w:pStyle w:val="FootnoteText"/>
        <w:jc w:val="both"/>
        <w:rPr>
          <w:rFonts w:ascii="Verdana" w:hAnsi="Verdana"/>
          <w:sz w:val="16"/>
          <w:szCs w:val="16"/>
        </w:rPr>
      </w:pPr>
    </w:p>
  </w:footnote>
  <w:footnote w:id="21">
    <w:p w14:paraId="4E9CB7FD" w14:textId="6F89A25A" w:rsidR="0046241E" w:rsidRPr="00A7488E" w:rsidRDefault="0046241E" w:rsidP="002F649F">
      <w:pPr>
        <w:pStyle w:val="FootnoteText"/>
        <w:jc w:val="both"/>
        <w:rPr>
          <w:rFonts w:ascii="Verdana" w:hAnsi="Verdana"/>
          <w:sz w:val="16"/>
          <w:szCs w:val="16"/>
        </w:rPr>
      </w:pPr>
      <w:r w:rsidRPr="00A7488E">
        <w:rPr>
          <w:rStyle w:val="FootnoteReference"/>
          <w:rFonts w:ascii="Verdana" w:hAnsi="Verdana"/>
          <w:sz w:val="16"/>
          <w:szCs w:val="16"/>
        </w:rPr>
        <w:footnoteRef/>
      </w:r>
      <w:r w:rsidRPr="00F106A0">
        <w:rPr>
          <w:rFonts w:ascii="Verdana" w:hAnsi="Verdana"/>
          <w:sz w:val="16"/>
          <w:szCs w:val="16"/>
        </w:rPr>
        <w:t xml:space="preserve"> </w:t>
      </w:r>
      <w:r w:rsidRPr="00F106A0">
        <w:rPr>
          <w:rFonts w:ascii="Verdana" w:hAnsi="Verdana"/>
          <w:sz w:val="16"/>
          <w:szCs w:val="16"/>
        </w:rPr>
        <w:tab/>
        <w:t xml:space="preserve">Consultado en el sitio de internet </w:t>
      </w:r>
      <w:hyperlink r:id="rId2" w:history="1">
        <w:r w:rsidRPr="00C066E4">
          <w:rPr>
            <w:rStyle w:val="Hyperlink"/>
            <w:rFonts w:ascii="Verdana" w:hAnsi="Verdana"/>
            <w:color w:val="auto"/>
            <w:sz w:val="16"/>
            <w:szCs w:val="16"/>
            <w:u w:val="none"/>
          </w:rPr>
          <w:t>http://dle.rae.es</w:t>
        </w:r>
      </w:hyperlink>
      <w:r w:rsidRPr="00C066E4">
        <w:rPr>
          <w:rFonts w:ascii="Verdana" w:hAnsi="Verdana"/>
          <w:sz w:val="16"/>
          <w:szCs w:val="16"/>
        </w:rPr>
        <w:t>.</w:t>
      </w:r>
    </w:p>
    <w:p w14:paraId="6D990A16" w14:textId="77777777" w:rsidR="0046241E" w:rsidRPr="002F649F" w:rsidRDefault="0046241E" w:rsidP="002F649F">
      <w:pPr>
        <w:pStyle w:val="FootnoteText"/>
        <w:jc w:val="both"/>
        <w:rPr>
          <w:rFonts w:ascii="Verdana" w:hAnsi="Verdana"/>
          <w:sz w:val="16"/>
          <w:szCs w:val="16"/>
        </w:rPr>
      </w:pPr>
    </w:p>
  </w:footnote>
  <w:footnote w:id="22">
    <w:p w14:paraId="030FBA08" w14:textId="2324D984" w:rsidR="0046241E" w:rsidRDefault="0046241E" w:rsidP="002F649F">
      <w:pPr>
        <w:pStyle w:val="FootnoteText"/>
        <w:jc w:val="both"/>
        <w:rPr>
          <w:rFonts w:ascii="Verdana" w:hAnsi="Verdana" w:cs="Tahoma"/>
          <w:color w:val="000000"/>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La Carta de la Organización de Estados Americanos, en su artículo 45.b) </w:t>
      </w:r>
      <w:r w:rsidRPr="002F649F">
        <w:rPr>
          <w:rFonts w:ascii="Verdana" w:hAnsi="Verdana"/>
          <w:sz w:val="16"/>
          <w:szCs w:val="16"/>
          <w:lang w:val="es-CR"/>
        </w:rPr>
        <w:t>establece que “[e]</w:t>
      </w:r>
      <w:r w:rsidRPr="002F649F">
        <w:rPr>
          <w:rFonts w:ascii="Verdana" w:hAnsi="Verdana" w:cs="Tahoma"/>
          <w:color w:val="000000"/>
          <w:sz w:val="16"/>
          <w:szCs w:val="16"/>
        </w:rPr>
        <w:t xml:space="preserve">l trabajo es un derecho y un deber social […]”. </w:t>
      </w:r>
    </w:p>
    <w:p w14:paraId="76A15849" w14:textId="77777777" w:rsidR="0046241E" w:rsidRPr="002F649F" w:rsidRDefault="0046241E" w:rsidP="002F649F">
      <w:pPr>
        <w:pStyle w:val="FootnoteText"/>
        <w:jc w:val="both"/>
        <w:rPr>
          <w:rFonts w:ascii="Verdana" w:hAnsi="Verdana" w:cs="Tahoma"/>
          <w:color w:val="000000"/>
          <w:sz w:val="16"/>
          <w:szCs w:val="16"/>
        </w:rPr>
      </w:pPr>
    </w:p>
  </w:footnote>
  <w:footnote w:id="23">
    <w:p w14:paraId="410DCBFF" w14:textId="3478E1A2" w:rsidR="0046241E"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Adoptado el 17 de noviembre de 1988. Entró en vigor el 16 de noviembre de 1999. </w:t>
      </w:r>
    </w:p>
    <w:p w14:paraId="0D6083B3" w14:textId="77777777" w:rsidR="0046241E" w:rsidRPr="002F649F" w:rsidRDefault="0046241E" w:rsidP="002F649F">
      <w:pPr>
        <w:pStyle w:val="FootnoteText"/>
        <w:jc w:val="both"/>
        <w:rPr>
          <w:rFonts w:ascii="Verdana" w:hAnsi="Verdana"/>
          <w:sz w:val="16"/>
          <w:szCs w:val="16"/>
        </w:rPr>
      </w:pPr>
    </w:p>
  </w:footnote>
  <w:footnote w:id="24">
    <w:p w14:paraId="7DA2BC73" w14:textId="7723D395" w:rsidR="0046241E"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Véanse las partes conducentes en mis </w:t>
      </w:r>
      <w:r w:rsidRPr="00A63FE1">
        <w:rPr>
          <w:rFonts w:ascii="Verdana" w:hAnsi="Verdana"/>
          <w:sz w:val="16"/>
          <w:szCs w:val="16"/>
        </w:rPr>
        <w:t>Votos Concurrentes</w:t>
      </w:r>
      <w:r w:rsidRPr="002F649F">
        <w:rPr>
          <w:rFonts w:ascii="Verdana" w:hAnsi="Verdana"/>
          <w:sz w:val="16"/>
          <w:szCs w:val="16"/>
        </w:rPr>
        <w:t xml:space="preserve"> a las Sentencias emitidas por la Corte IDH en </w:t>
      </w:r>
      <w:proofErr w:type="gramStart"/>
      <w:r w:rsidRPr="002F649F">
        <w:rPr>
          <w:rFonts w:ascii="Verdana" w:hAnsi="Verdana"/>
          <w:sz w:val="16"/>
          <w:szCs w:val="16"/>
        </w:rPr>
        <w:t xml:space="preserve">los casos señalados </w:t>
      </w:r>
      <w:r w:rsidRPr="002F649F">
        <w:rPr>
          <w:rFonts w:ascii="Verdana" w:hAnsi="Verdana"/>
          <w:i/>
          <w:sz w:val="16"/>
          <w:szCs w:val="16"/>
        </w:rPr>
        <w:t>supra</w:t>
      </w:r>
      <w:r w:rsidRPr="002F649F">
        <w:rPr>
          <w:rFonts w:ascii="Verdana" w:hAnsi="Verdana"/>
          <w:sz w:val="16"/>
          <w:szCs w:val="16"/>
        </w:rPr>
        <w:t xml:space="preserve">, </w:t>
      </w:r>
      <w:r w:rsidRPr="00A63FE1">
        <w:rPr>
          <w:rFonts w:ascii="Verdana" w:hAnsi="Verdana"/>
          <w:sz w:val="16"/>
          <w:szCs w:val="16"/>
        </w:rPr>
        <w:t>nota</w:t>
      </w:r>
      <w:proofErr w:type="gramEnd"/>
      <w:r w:rsidRPr="00A63FE1">
        <w:rPr>
          <w:rFonts w:ascii="Verdana" w:hAnsi="Verdana"/>
          <w:sz w:val="16"/>
          <w:szCs w:val="16"/>
        </w:rPr>
        <w:t xml:space="preserve"> a pie 4 del presente voto.</w:t>
      </w:r>
    </w:p>
    <w:p w14:paraId="4AA925BF" w14:textId="77777777" w:rsidR="0046241E" w:rsidRPr="002F649F" w:rsidRDefault="0046241E" w:rsidP="002F649F">
      <w:pPr>
        <w:pStyle w:val="FootnoteText"/>
        <w:jc w:val="both"/>
        <w:rPr>
          <w:rFonts w:ascii="Verdana" w:hAnsi="Verdana"/>
          <w:sz w:val="16"/>
          <w:szCs w:val="16"/>
          <w:lang w:val="es-ES_tradnl"/>
        </w:rPr>
      </w:pPr>
    </w:p>
  </w:footnote>
  <w:footnote w:id="25">
    <w:p w14:paraId="69853E0A" w14:textId="5F10139B" w:rsidR="0046241E"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Co</w:t>
      </w:r>
      <w:r>
        <w:rPr>
          <w:rFonts w:ascii="Verdana" w:hAnsi="Verdana"/>
          <w:sz w:val="16"/>
          <w:szCs w:val="16"/>
        </w:rPr>
        <w:t>r</w:t>
      </w:r>
      <w:r w:rsidRPr="002F649F">
        <w:rPr>
          <w:rFonts w:ascii="Verdana" w:hAnsi="Verdana"/>
          <w:sz w:val="16"/>
          <w:szCs w:val="16"/>
        </w:rPr>
        <w:t xml:space="preserve">te IDH. </w:t>
      </w:r>
      <w:r w:rsidRPr="002F649F">
        <w:rPr>
          <w:rFonts w:ascii="Verdana" w:hAnsi="Verdana"/>
          <w:i/>
          <w:sz w:val="16"/>
          <w:szCs w:val="16"/>
        </w:rPr>
        <w:t>Caso Suárez Peralta Vs. Ecuador</w:t>
      </w:r>
      <w:r>
        <w:rPr>
          <w:rFonts w:ascii="Verdana" w:hAnsi="Verdana"/>
          <w:sz w:val="16"/>
          <w:szCs w:val="16"/>
        </w:rPr>
        <w:t xml:space="preserve">. </w:t>
      </w:r>
      <w:r w:rsidRPr="002F649F">
        <w:rPr>
          <w:rFonts w:ascii="Verdana" w:hAnsi="Verdana"/>
          <w:i/>
          <w:sz w:val="16"/>
          <w:szCs w:val="16"/>
        </w:rPr>
        <w:t>Excepciones Preliminares, Fondo, Reparaciones y Costas.</w:t>
      </w:r>
      <w:r w:rsidRPr="002F649F">
        <w:rPr>
          <w:rFonts w:ascii="Verdana" w:hAnsi="Verdana"/>
          <w:sz w:val="16"/>
          <w:szCs w:val="16"/>
        </w:rPr>
        <w:t xml:space="preserve"> Sentencia de 21 de mayo de 2013. Serie C No. 261.</w:t>
      </w:r>
    </w:p>
    <w:p w14:paraId="57B9699B" w14:textId="77777777" w:rsidR="0046241E" w:rsidRPr="002F649F" w:rsidRDefault="0046241E" w:rsidP="002F649F">
      <w:pPr>
        <w:pStyle w:val="FootnoteText"/>
        <w:jc w:val="both"/>
        <w:rPr>
          <w:rFonts w:ascii="Verdana" w:hAnsi="Verdana"/>
          <w:sz w:val="16"/>
          <w:szCs w:val="16"/>
          <w:lang w:val="es-ES_tradnl"/>
        </w:rPr>
      </w:pPr>
    </w:p>
  </w:footnote>
  <w:footnote w:id="26">
    <w:p w14:paraId="4FD586CE" w14:textId="1FD0CF8D" w:rsidR="0046241E" w:rsidRDefault="0046241E" w:rsidP="002F649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sz w:val="16"/>
          <w:szCs w:val="16"/>
          <w:lang w:val="es-CR"/>
        </w:rPr>
        <w:t>Dicha norma indica que “En el caso de que los derechos establecidos en el párrafo a) del artículo 8 versa sobre “[e]</w:t>
      </w:r>
      <w:r w:rsidRPr="002F649F">
        <w:rPr>
          <w:rFonts w:ascii="Verdana" w:hAnsi="Verdana" w:cs="Tahoma"/>
          <w:sz w:val="16"/>
          <w:szCs w:val="16"/>
        </w:rPr>
        <w:t>l derecho de los trabajadores a organizar sindicatos y a afiliarse al de su elección, para la protección y promoción de sus intereses. […]”</w:t>
      </w:r>
      <w:r w:rsidRPr="002F649F">
        <w:rPr>
          <w:rFonts w:ascii="Verdana" w:hAnsi="Verdana"/>
          <w:sz w:val="16"/>
          <w:szCs w:val="16"/>
          <w:lang w:val="es-CR"/>
        </w:rPr>
        <w:t xml:space="preserve"> y en el artículo 13 fuesen violados por una acción imputable directamente a un Estado Parte del presente Protocolo, tal situación podría dar lugar, mediante la participación de la Comisión Interamericana de Derechos Humanos, y cuando proceda de la Corte Interamericana de Derechos Humanos, a la aplicación del sistema de peticiones individuales regulado por los artículos 44 a 51 y 61 a 69 de la Convención Americana sobre Derechos Humanos”. </w:t>
      </w:r>
    </w:p>
    <w:p w14:paraId="5619F850" w14:textId="77777777" w:rsidR="0046241E" w:rsidRPr="002F649F" w:rsidRDefault="0046241E" w:rsidP="002F649F">
      <w:pPr>
        <w:pStyle w:val="FootnoteText"/>
        <w:jc w:val="both"/>
        <w:rPr>
          <w:rFonts w:ascii="Verdana" w:hAnsi="Verdana"/>
          <w:sz w:val="16"/>
          <w:szCs w:val="16"/>
          <w:lang w:val="es-CR"/>
        </w:rPr>
      </w:pPr>
    </w:p>
  </w:footnote>
  <w:footnote w:id="27">
    <w:p w14:paraId="42F87783" w14:textId="79FC0BEB" w:rsidR="0046241E" w:rsidRPr="002F649F" w:rsidRDefault="0046241E" w:rsidP="002F649F">
      <w:pPr>
        <w:pStyle w:val="FootnoteText"/>
        <w:jc w:val="both"/>
        <w:rPr>
          <w:rFonts w:ascii="Verdana" w:hAnsi="Verdana" w:cs="Tahom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cs="Tahoma"/>
          <w:sz w:val="16"/>
          <w:szCs w:val="16"/>
        </w:rPr>
        <w:t>Por otra parte, de forma adicional, debe advertirse, como ya lo hicimos el Juez Roberto F. Caldas y quien escribe, que siendo que el Protocolo de San Salvador no modifica expresamente norma alguna de la Convención</w:t>
      </w:r>
      <w:r>
        <w:rPr>
          <w:rFonts w:ascii="Verdana" w:hAnsi="Verdana" w:cs="Tahoma"/>
          <w:sz w:val="16"/>
          <w:szCs w:val="16"/>
        </w:rPr>
        <w:t xml:space="preserve"> Americana</w:t>
      </w:r>
      <w:r w:rsidRPr="002F649F">
        <w:rPr>
          <w:rFonts w:ascii="Verdana" w:hAnsi="Verdana" w:cs="Tahoma"/>
          <w:sz w:val="16"/>
          <w:szCs w:val="16"/>
        </w:rPr>
        <w:t>, no sería admisible una interpretación del Pacto de San José válida para los Estados Partes que no hayan firmado o ratificado el Protocolo de San Salvador y otra distinta para aquellos que sí lo hayan hecho</w:t>
      </w:r>
      <w:r>
        <w:rPr>
          <w:rFonts w:ascii="Verdana" w:hAnsi="Verdana" w:cs="Tahoma"/>
          <w:sz w:val="16"/>
          <w:szCs w:val="16"/>
        </w:rPr>
        <w:t xml:space="preserve">. </w:t>
      </w:r>
      <w:r w:rsidRPr="002F649F">
        <w:rPr>
          <w:rFonts w:ascii="Verdana" w:hAnsi="Verdana" w:cs="Tahoma"/>
          <w:i/>
          <w:sz w:val="16"/>
          <w:szCs w:val="16"/>
        </w:rPr>
        <w:t xml:space="preserve">Cfr. </w:t>
      </w:r>
      <w:r>
        <w:rPr>
          <w:rFonts w:ascii="Verdana" w:hAnsi="Verdana"/>
          <w:sz w:val="16"/>
          <w:szCs w:val="16"/>
        </w:rPr>
        <w:t>Voto C</w:t>
      </w:r>
      <w:r w:rsidRPr="002F649F">
        <w:rPr>
          <w:rFonts w:ascii="Verdana" w:hAnsi="Verdana"/>
          <w:sz w:val="16"/>
          <w:szCs w:val="16"/>
        </w:rPr>
        <w:t xml:space="preserve">oncurrente conjunto sobre la Sentencia respecto al caso </w:t>
      </w:r>
      <w:r w:rsidRPr="002F649F">
        <w:rPr>
          <w:rFonts w:ascii="Verdana" w:hAnsi="Verdana"/>
          <w:i/>
          <w:sz w:val="16"/>
          <w:szCs w:val="16"/>
        </w:rPr>
        <w:t>Can</w:t>
      </w:r>
      <w:r>
        <w:rPr>
          <w:rFonts w:ascii="Verdana" w:hAnsi="Verdana"/>
          <w:i/>
          <w:sz w:val="16"/>
          <w:szCs w:val="16"/>
        </w:rPr>
        <w:t xml:space="preserve">ales </w:t>
      </w:r>
      <w:proofErr w:type="spellStart"/>
      <w:r>
        <w:rPr>
          <w:rFonts w:ascii="Verdana" w:hAnsi="Verdana"/>
          <w:i/>
          <w:sz w:val="16"/>
          <w:szCs w:val="16"/>
        </w:rPr>
        <w:t>Huapaya</w:t>
      </w:r>
      <w:proofErr w:type="spellEnd"/>
      <w:r>
        <w:rPr>
          <w:rFonts w:ascii="Verdana" w:hAnsi="Verdana"/>
          <w:i/>
          <w:sz w:val="16"/>
          <w:szCs w:val="16"/>
        </w:rPr>
        <w:t xml:space="preserve"> y otros Vs. Perú. </w:t>
      </w:r>
      <w:r w:rsidRPr="002F649F">
        <w:rPr>
          <w:rFonts w:ascii="Verdana" w:hAnsi="Verdana"/>
          <w:i/>
          <w:sz w:val="16"/>
          <w:szCs w:val="16"/>
        </w:rPr>
        <w:t>Excepciones Preliminares, Fondo, Reparaciones y Costas.</w:t>
      </w:r>
      <w:r w:rsidRPr="002F649F">
        <w:rPr>
          <w:rFonts w:ascii="Verdana" w:hAnsi="Verdana"/>
          <w:sz w:val="16"/>
          <w:szCs w:val="16"/>
        </w:rPr>
        <w:t xml:space="preserve"> Sentencia de 24 de</w:t>
      </w:r>
      <w:r>
        <w:rPr>
          <w:rFonts w:ascii="Verdana" w:hAnsi="Verdana"/>
          <w:sz w:val="16"/>
          <w:szCs w:val="16"/>
        </w:rPr>
        <w:t xml:space="preserve"> junio de 2015. Serie C No. 296</w:t>
      </w:r>
      <w:r w:rsidRPr="002F649F">
        <w:rPr>
          <w:rFonts w:ascii="Verdana" w:hAnsi="Verdana"/>
          <w:sz w:val="16"/>
          <w:szCs w:val="16"/>
        </w:rPr>
        <w:t>, párr. 19</w:t>
      </w:r>
      <w:r w:rsidRPr="002F649F">
        <w:rPr>
          <w:rFonts w:ascii="Verdana" w:hAnsi="Verdana" w:cs="Tahoma"/>
          <w:sz w:val="16"/>
          <w:szCs w:val="16"/>
        </w:rPr>
        <w:t xml:space="preserve">. Tampoco sería admisible entender que el Protocolo incide en la interpretación que se haga de la Convención </w:t>
      </w:r>
      <w:r>
        <w:rPr>
          <w:rFonts w:ascii="Verdana" w:hAnsi="Verdana" w:cs="Tahoma"/>
          <w:sz w:val="16"/>
          <w:szCs w:val="16"/>
        </w:rPr>
        <w:t xml:space="preserve">Americana </w:t>
      </w:r>
      <w:r w:rsidRPr="002F649F">
        <w:rPr>
          <w:rFonts w:ascii="Verdana" w:hAnsi="Verdana" w:cs="Tahoma"/>
          <w:sz w:val="16"/>
          <w:szCs w:val="16"/>
        </w:rPr>
        <w:t xml:space="preserve">(de su artículo 26, de los derechos receptados en la norma, de las posibilidades de la Corte </w:t>
      </w:r>
      <w:r>
        <w:rPr>
          <w:rFonts w:ascii="Verdana" w:hAnsi="Verdana" w:cs="Tahoma"/>
          <w:sz w:val="16"/>
          <w:szCs w:val="16"/>
        </w:rPr>
        <w:t xml:space="preserve">IDH </w:t>
      </w:r>
      <w:r w:rsidRPr="002F649F">
        <w:rPr>
          <w:rFonts w:ascii="Verdana" w:hAnsi="Verdana" w:cs="Tahoma"/>
          <w:sz w:val="16"/>
          <w:szCs w:val="16"/>
        </w:rPr>
        <w:t xml:space="preserve">para pronunciarse al respecto) y que, por ende, aquellos Estados Partes en ese tratado que no lo son del Protocolo de San Salvador vean modificado el régimen al que aceptaron someterse a partir de una norma (el Protocolo de San Salvador) que no los vincula. </w:t>
      </w:r>
      <w:r>
        <w:rPr>
          <w:rFonts w:ascii="Verdana" w:hAnsi="Verdana" w:cs="Tahoma"/>
          <w:sz w:val="16"/>
          <w:szCs w:val="16"/>
        </w:rPr>
        <w:t>A</w:t>
      </w:r>
      <w:r w:rsidRPr="002F649F">
        <w:rPr>
          <w:rFonts w:ascii="Verdana" w:hAnsi="Verdana" w:cs="Tahoma"/>
          <w:sz w:val="16"/>
          <w:szCs w:val="16"/>
        </w:rPr>
        <w:t xml:space="preserve">claro que se trata de razones subsidiarias, para mostrar el resultado irrazonable a que conduciría entender que el Protocolo de San Salvador ha implicado una modificación de los derechos reconocidos en la Convención </w:t>
      </w:r>
      <w:r>
        <w:rPr>
          <w:rFonts w:ascii="Verdana" w:hAnsi="Verdana" w:cs="Tahoma"/>
          <w:sz w:val="16"/>
          <w:szCs w:val="16"/>
        </w:rPr>
        <w:t xml:space="preserve">Americana </w:t>
      </w:r>
      <w:r w:rsidRPr="002F649F">
        <w:rPr>
          <w:rFonts w:ascii="Verdana" w:hAnsi="Verdana" w:cs="Tahoma"/>
          <w:sz w:val="16"/>
          <w:szCs w:val="16"/>
        </w:rPr>
        <w:t>o del régimen sobre competencia establecido en ella. Por supuesto, sería deseable que todos los Estados Partes en el Pacto de San José lo fueran también del Protocolo de San Salvador. Si esto ocurriera, entiendo que igualmente serían justiciables derechos sociales ante la Corte</w:t>
      </w:r>
      <w:r>
        <w:rPr>
          <w:rFonts w:ascii="Verdana" w:hAnsi="Verdana" w:cs="Tahoma"/>
          <w:sz w:val="16"/>
          <w:szCs w:val="16"/>
        </w:rPr>
        <w:t xml:space="preserve"> IDH</w:t>
      </w:r>
      <w:r w:rsidRPr="002F649F">
        <w:rPr>
          <w:rFonts w:ascii="Verdana" w:hAnsi="Verdana" w:cs="Tahoma"/>
          <w:sz w:val="16"/>
          <w:szCs w:val="16"/>
        </w:rPr>
        <w:t xml:space="preserve"> a partir del artículo 26 de la Convención</w:t>
      </w:r>
      <w:r>
        <w:rPr>
          <w:rFonts w:ascii="Verdana" w:hAnsi="Verdana" w:cs="Tahoma"/>
          <w:sz w:val="16"/>
          <w:szCs w:val="16"/>
        </w:rPr>
        <w:t xml:space="preserve"> Americana</w:t>
      </w:r>
      <w:r w:rsidRPr="002F649F">
        <w:rPr>
          <w:rFonts w:ascii="Verdana" w:hAnsi="Verdana" w:cs="Tahoma"/>
          <w:sz w:val="16"/>
          <w:szCs w:val="16"/>
        </w:rPr>
        <w:t>.</w:t>
      </w:r>
    </w:p>
  </w:footnote>
  <w:footnote w:id="28">
    <w:p w14:paraId="6FD0D81D" w14:textId="36AC157F" w:rsidR="0046241E" w:rsidRDefault="0046241E" w:rsidP="002F649F">
      <w:pPr>
        <w:pStyle w:val="FootnoteText"/>
        <w:jc w:val="both"/>
        <w:rPr>
          <w:rStyle w:val="Strong"/>
          <w:rFonts w:ascii="Verdana" w:hAnsi="Verdana"/>
          <w:b w:val="0"/>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Véanse al respecto: Corte IDH. </w:t>
      </w:r>
      <w:r w:rsidRPr="002F649F">
        <w:rPr>
          <w:rStyle w:val="Strong"/>
          <w:rFonts w:ascii="Verdana" w:hAnsi="Verdana"/>
          <w:b w:val="0"/>
          <w:i/>
          <w:sz w:val="16"/>
          <w:szCs w:val="16"/>
        </w:rPr>
        <w:t xml:space="preserve">Caso de la Comunidad </w:t>
      </w:r>
      <w:proofErr w:type="spellStart"/>
      <w:r w:rsidRPr="002F649F">
        <w:rPr>
          <w:rStyle w:val="Strong"/>
          <w:rFonts w:ascii="Verdana" w:hAnsi="Verdana"/>
          <w:b w:val="0"/>
          <w:i/>
          <w:sz w:val="16"/>
          <w:szCs w:val="16"/>
        </w:rPr>
        <w:t>Mayagna</w:t>
      </w:r>
      <w:proofErr w:type="spellEnd"/>
      <w:r w:rsidRPr="002F649F">
        <w:rPr>
          <w:rStyle w:val="Strong"/>
          <w:rFonts w:ascii="Verdana" w:hAnsi="Verdana"/>
          <w:b w:val="0"/>
          <w:i/>
          <w:sz w:val="16"/>
          <w:szCs w:val="16"/>
        </w:rPr>
        <w:t xml:space="preserve"> (Sumo) </w:t>
      </w:r>
      <w:proofErr w:type="spellStart"/>
      <w:r w:rsidRPr="002F649F">
        <w:rPr>
          <w:rStyle w:val="Strong"/>
          <w:rFonts w:ascii="Verdana" w:hAnsi="Verdana"/>
          <w:b w:val="0"/>
          <w:i/>
          <w:sz w:val="16"/>
          <w:szCs w:val="16"/>
        </w:rPr>
        <w:t>Awas</w:t>
      </w:r>
      <w:proofErr w:type="spellEnd"/>
      <w:r w:rsidRPr="002F649F">
        <w:rPr>
          <w:rStyle w:val="Strong"/>
          <w:rFonts w:ascii="Verdana" w:hAnsi="Verdana"/>
          <w:b w:val="0"/>
          <w:i/>
          <w:sz w:val="16"/>
          <w:szCs w:val="16"/>
        </w:rPr>
        <w:t xml:space="preserve"> </w:t>
      </w:r>
      <w:proofErr w:type="spellStart"/>
      <w:r w:rsidRPr="002F649F">
        <w:rPr>
          <w:rStyle w:val="Strong"/>
          <w:rFonts w:ascii="Verdana" w:hAnsi="Verdana"/>
          <w:b w:val="0"/>
          <w:i/>
          <w:sz w:val="16"/>
          <w:szCs w:val="16"/>
        </w:rPr>
        <w:t>Tingni</w:t>
      </w:r>
      <w:proofErr w:type="spellEnd"/>
      <w:r w:rsidRPr="002F649F">
        <w:rPr>
          <w:rStyle w:val="Strong"/>
          <w:rFonts w:ascii="Verdana" w:hAnsi="Verdana"/>
          <w:b w:val="0"/>
          <w:i/>
          <w:sz w:val="16"/>
          <w:szCs w:val="16"/>
        </w:rPr>
        <w:t xml:space="preserve"> Vs. Nicaragua. Fondo, Reparaciones y Costas.</w:t>
      </w:r>
      <w:r w:rsidRPr="002F649F">
        <w:rPr>
          <w:rStyle w:val="Strong"/>
          <w:rFonts w:ascii="Verdana" w:hAnsi="Verdana"/>
          <w:b w:val="0"/>
          <w:sz w:val="16"/>
          <w:szCs w:val="16"/>
        </w:rPr>
        <w:t xml:space="preserve"> Sentencia de 31 de agosto de 2001. Serie C No. 79; </w:t>
      </w:r>
      <w:r w:rsidRPr="002F649F">
        <w:rPr>
          <w:rStyle w:val="Strong"/>
          <w:rFonts w:ascii="Verdana" w:hAnsi="Verdana"/>
          <w:b w:val="0"/>
          <w:i/>
          <w:sz w:val="16"/>
          <w:szCs w:val="16"/>
        </w:rPr>
        <w:t xml:space="preserve">Caso Comunidad Indígena </w:t>
      </w:r>
      <w:proofErr w:type="spellStart"/>
      <w:r w:rsidRPr="002F649F">
        <w:rPr>
          <w:rStyle w:val="Strong"/>
          <w:rFonts w:ascii="Verdana" w:hAnsi="Verdana"/>
          <w:b w:val="0"/>
          <w:i/>
          <w:sz w:val="16"/>
          <w:szCs w:val="16"/>
        </w:rPr>
        <w:t>Yakye</w:t>
      </w:r>
      <w:proofErr w:type="spellEnd"/>
      <w:r w:rsidRPr="002F649F">
        <w:rPr>
          <w:rStyle w:val="Strong"/>
          <w:rFonts w:ascii="Verdana" w:hAnsi="Verdana"/>
          <w:b w:val="0"/>
          <w:i/>
          <w:sz w:val="16"/>
          <w:szCs w:val="16"/>
        </w:rPr>
        <w:t xml:space="preserve"> Axa Vs. Paraguay. Fondo Reparaciones y Costas.</w:t>
      </w:r>
      <w:r w:rsidRPr="002F649F">
        <w:rPr>
          <w:rStyle w:val="Strong"/>
          <w:rFonts w:ascii="Verdana" w:hAnsi="Verdana"/>
          <w:b w:val="0"/>
          <w:sz w:val="16"/>
          <w:szCs w:val="16"/>
        </w:rPr>
        <w:t xml:space="preserve"> Sentencia 17 de junio de 2005. Serie C No. 125; </w:t>
      </w:r>
      <w:r w:rsidRPr="002F649F">
        <w:rPr>
          <w:rStyle w:val="Strong"/>
          <w:rFonts w:ascii="Verdana" w:hAnsi="Verdana"/>
          <w:b w:val="0"/>
          <w:i/>
          <w:sz w:val="16"/>
          <w:szCs w:val="16"/>
        </w:rPr>
        <w:t xml:space="preserve">Caso Comunidad Indígena </w:t>
      </w:r>
      <w:proofErr w:type="spellStart"/>
      <w:r w:rsidRPr="002F649F">
        <w:rPr>
          <w:rStyle w:val="Strong"/>
          <w:rFonts w:ascii="Verdana" w:hAnsi="Verdana"/>
          <w:b w:val="0"/>
          <w:i/>
          <w:sz w:val="16"/>
          <w:szCs w:val="16"/>
        </w:rPr>
        <w:t>Sawhoyamaxa</w:t>
      </w:r>
      <w:proofErr w:type="spellEnd"/>
      <w:r w:rsidRPr="002F649F">
        <w:rPr>
          <w:rStyle w:val="Strong"/>
          <w:rFonts w:ascii="Verdana" w:hAnsi="Verdana"/>
          <w:b w:val="0"/>
          <w:i/>
          <w:sz w:val="16"/>
          <w:szCs w:val="16"/>
        </w:rPr>
        <w:t xml:space="preserve"> Vs. Paraguay. Fondo, Reparaciones y Costas.</w:t>
      </w:r>
      <w:r w:rsidRPr="002F649F">
        <w:rPr>
          <w:rStyle w:val="Strong"/>
          <w:rFonts w:ascii="Verdana" w:hAnsi="Verdana"/>
          <w:b w:val="0"/>
          <w:sz w:val="16"/>
          <w:szCs w:val="16"/>
        </w:rPr>
        <w:t xml:space="preserve"> Sentencia de 29 de marzo de 2006. Serie C No. 146; </w:t>
      </w:r>
      <w:r w:rsidRPr="002F649F">
        <w:rPr>
          <w:rStyle w:val="Strong"/>
          <w:rFonts w:ascii="Verdana" w:hAnsi="Verdana"/>
          <w:b w:val="0"/>
          <w:i/>
          <w:sz w:val="16"/>
          <w:szCs w:val="16"/>
        </w:rPr>
        <w:t xml:space="preserve">Caso del Pueblo </w:t>
      </w:r>
      <w:proofErr w:type="spellStart"/>
      <w:r w:rsidRPr="002F649F">
        <w:rPr>
          <w:rStyle w:val="Strong"/>
          <w:rFonts w:ascii="Verdana" w:hAnsi="Verdana"/>
          <w:b w:val="0"/>
          <w:i/>
          <w:sz w:val="16"/>
          <w:szCs w:val="16"/>
        </w:rPr>
        <w:t>Saramaka</w:t>
      </w:r>
      <w:proofErr w:type="spellEnd"/>
      <w:r w:rsidRPr="002F649F">
        <w:rPr>
          <w:rStyle w:val="Strong"/>
          <w:rFonts w:ascii="Verdana" w:hAnsi="Verdana"/>
          <w:b w:val="0"/>
          <w:i/>
          <w:sz w:val="16"/>
          <w:szCs w:val="16"/>
        </w:rPr>
        <w:t xml:space="preserve"> Vs. Surinam. Excepciones Preliminares, Fondo, Reparaciones y Costas.</w:t>
      </w:r>
      <w:r w:rsidRPr="002F649F">
        <w:rPr>
          <w:rStyle w:val="Strong"/>
          <w:rFonts w:ascii="Verdana" w:hAnsi="Verdana"/>
          <w:b w:val="0"/>
          <w:sz w:val="16"/>
          <w:szCs w:val="16"/>
        </w:rPr>
        <w:t xml:space="preserve"> Sentencia de 28 de noviembre de 2007. Serie C No. 172; </w:t>
      </w:r>
      <w:r w:rsidRPr="002F649F">
        <w:rPr>
          <w:rStyle w:val="Strong"/>
          <w:rFonts w:ascii="Verdana" w:hAnsi="Verdana"/>
          <w:b w:val="0"/>
          <w:i/>
          <w:sz w:val="16"/>
          <w:szCs w:val="16"/>
        </w:rPr>
        <w:t xml:space="preserve">Caso Comunidad Indígena </w:t>
      </w:r>
      <w:proofErr w:type="spellStart"/>
      <w:r w:rsidRPr="002F649F">
        <w:rPr>
          <w:rStyle w:val="Strong"/>
          <w:rFonts w:ascii="Verdana" w:hAnsi="Verdana"/>
          <w:b w:val="0"/>
          <w:i/>
          <w:sz w:val="16"/>
          <w:szCs w:val="16"/>
        </w:rPr>
        <w:t>Xákmok</w:t>
      </w:r>
      <w:proofErr w:type="spellEnd"/>
      <w:r w:rsidRPr="002F649F">
        <w:rPr>
          <w:rStyle w:val="Strong"/>
          <w:rFonts w:ascii="Verdana" w:hAnsi="Verdana"/>
          <w:b w:val="0"/>
          <w:i/>
          <w:sz w:val="16"/>
          <w:szCs w:val="16"/>
        </w:rPr>
        <w:t xml:space="preserve"> </w:t>
      </w:r>
      <w:proofErr w:type="spellStart"/>
      <w:r w:rsidRPr="002F649F">
        <w:rPr>
          <w:rStyle w:val="Strong"/>
          <w:rFonts w:ascii="Verdana" w:hAnsi="Verdana"/>
          <w:b w:val="0"/>
          <w:i/>
          <w:sz w:val="16"/>
          <w:szCs w:val="16"/>
        </w:rPr>
        <w:t>Kásek</w:t>
      </w:r>
      <w:proofErr w:type="spellEnd"/>
      <w:r w:rsidRPr="002F649F">
        <w:rPr>
          <w:rStyle w:val="Strong"/>
          <w:rFonts w:ascii="Verdana" w:hAnsi="Verdana"/>
          <w:b w:val="0"/>
          <w:i/>
          <w:sz w:val="16"/>
          <w:szCs w:val="16"/>
        </w:rPr>
        <w:t xml:space="preserve"> Vs. Paraguay. Fondo, Reparaciones y Costas</w:t>
      </w:r>
      <w:r w:rsidRPr="002F649F">
        <w:rPr>
          <w:rStyle w:val="Strong"/>
          <w:rFonts w:ascii="Verdana" w:hAnsi="Verdana"/>
          <w:b w:val="0"/>
          <w:sz w:val="16"/>
          <w:szCs w:val="16"/>
        </w:rPr>
        <w:t xml:space="preserve">. Sentencia de 24 de agosto de 2010. Serie C No. 214; </w:t>
      </w:r>
      <w:r w:rsidRPr="002F649F">
        <w:rPr>
          <w:rStyle w:val="Strong"/>
          <w:rFonts w:ascii="Verdana" w:hAnsi="Verdana"/>
          <w:b w:val="0"/>
          <w:i/>
          <w:sz w:val="16"/>
          <w:szCs w:val="16"/>
        </w:rPr>
        <w:t xml:space="preserve">Caso Pueblo Indígena </w:t>
      </w:r>
      <w:proofErr w:type="spellStart"/>
      <w:r w:rsidRPr="002F649F">
        <w:rPr>
          <w:rStyle w:val="Strong"/>
          <w:rFonts w:ascii="Verdana" w:hAnsi="Verdana"/>
          <w:b w:val="0"/>
          <w:i/>
          <w:sz w:val="16"/>
          <w:szCs w:val="16"/>
        </w:rPr>
        <w:t>Kichwa</w:t>
      </w:r>
      <w:proofErr w:type="spellEnd"/>
      <w:r w:rsidRPr="002F649F">
        <w:rPr>
          <w:rStyle w:val="Strong"/>
          <w:rFonts w:ascii="Verdana" w:hAnsi="Verdana"/>
          <w:b w:val="0"/>
          <w:i/>
          <w:sz w:val="16"/>
          <w:szCs w:val="16"/>
        </w:rPr>
        <w:t xml:space="preserve"> de </w:t>
      </w:r>
      <w:proofErr w:type="spellStart"/>
      <w:r w:rsidRPr="002F649F">
        <w:rPr>
          <w:rStyle w:val="Strong"/>
          <w:rFonts w:ascii="Verdana" w:hAnsi="Verdana"/>
          <w:b w:val="0"/>
          <w:i/>
          <w:sz w:val="16"/>
          <w:szCs w:val="16"/>
        </w:rPr>
        <w:t>Sarayaku</w:t>
      </w:r>
      <w:proofErr w:type="spellEnd"/>
      <w:r w:rsidRPr="002F649F">
        <w:rPr>
          <w:rStyle w:val="Strong"/>
          <w:rFonts w:ascii="Verdana" w:hAnsi="Verdana"/>
          <w:b w:val="0"/>
          <w:i/>
          <w:sz w:val="16"/>
          <w:szCs w:val="16"/>
        </w:rPr>
        <w:t xml:space="preserve"> Vs. Ecuador. Fondo y reparaciones. </w:t>
      </w:r>
      <w:r w:rsidRPr="002F649F">
        <w:rPr>
          <w:rStyle w:val="Strong"/>
          <w:rFonts w:ascii="Verdana" w:hAnsi="Verdana"/>
          <w:b w:val="0"/>
          <w:sz w:val="16"/>
          <w:szCs w:val="16"/>
        </w:rPr>
        <w:t xml:space="preserve">Sentencia de 27 de junio de 2012. Serie C No. 245; </w:t>
      </w:r>
      <w:r w:rsidRPr="002F649F">
        <w:rPr>
          <w:rStyle w:val="Strong"/>
          <w:rFonts w:ascii="Verdana" w:hAnsi="Verdana"/>
          <w:b w:val="0"/>
          <w:i/>
          <w:sz w:val="16"/>
          <w:szCs w:val="16"/>
        </w:rPr>
        <w:t>Caso Comunidad Garífuna de Punta Piedra y sus miembros Vs. Honduras.</w:t>
      </w:r>
      <w:r w:rsidRPr="002F649F">
        <w:rPr>
          <w:rStyle w:val="Strong"/>
          <w:rFonts w:ascii="Verdana" w:hAnsi="Verdana"/>
          <w:b w:val="0"/>
          <w:sz w:val="16"/>
          <w:szCs w:val="16"/>
        </w:rPr>
        <w:t xml:space="preserve"> </w:t>
      </w:r>
      <w:r w:rsidRPr="002F649F">
        <w:rPr>
          <w:rStyle w:val="Strong"/>
          <w:rFonts w:ascii="Verdana" w:hAnsi="Verdana"/>
          <w:b w:val="0"/>
          <w:i/>
          <w:sz w:val="16"/>
          <w:szCs w:val="16"/>
        </w:rPr>
        <w:t>Excepciones Preliminares, Fondo, Reparaciones y Costas</w:t>
      </w:r>
      <w:r w:rsidRPr="002F649F">
        <w:rPr>
          <w:rStyle w:val="Strong"/>
          <w:rFonts w:ascii="Verdana" w:hAnsi="Verdana"/>
          <w:b w:val="0"/>
          <w:sz w:val="16"/>
          <w:szCs w:val="16"/>
        </w:rPr>
        <w:t xml:space="preserve">. Sentencia de 08 de octubre de 2015. Serie C No. 304; y </w:t>
      </w:r>
      <w:r w:rsidRPr="002F649F">
        <w:rPr>
          <w:rStyle w:val="Strong"/>
          <w:rFonts w:ascii="Verdana" w:hAnsi="Verdana"/>
          <w:b w:val="0"/>
          <w:i/>
          <w:sz w:val="16"/>
          <w:szCs w:val="16"/>
        </w:rPr>
        <w:t>Caso Comunidad Garífuna Triunfo de la Cruz y sus miembros Vs. Honduras. Fondo, Reparaciones y Costas</w:t>
      </w:r>
      <w:r w:rsidRPr="002F649F">
        <w:rPr>
          <w:rStyle w:val="Strong"/>
          <w:rFonts w:ascii="Verdana" w:hAnsi="Verdana"/>
          <w:b w:val="0"/>
          <w:sz w:val="16"/>
          <w:szCs w:val="16"/>
        </w:rPr>
        <w:t xml:space="preserve">. Sentencia de 08 de octubre de 2015. Serie C No. 305; y </w:t>
      </w:r>
      <w:r w:rsidRPr="002F649F">
        <w:rPr>
          <w:rStyle w:val="Strong"/>
          <w:rFonts w:ascii="Verdana" w:hAnsi="Verdana"/>
          <w:b w:val="0"/>
          <w:i/>
          <w:sz w:val="16"/>
          <w:szCs w:val="16"/>
        </w:rPr>
        <w:t xml:space="preserve">Caso Pueblos </w:t>
      </w:r>
      <w:proofErr w:type="spellStart"/>
      <w:r w:rsidRPr="002F649F">
        <w:rPr>
          <w:rStyle w:val="Strong"/>
          <w:rFonts w:ascii="Verdana" w:hAnsi="Verdana"/>
          <w:b w:val="0"/>
          <w:i/>
          <w:sz w:val="16"/>
          <w:szCs w:val="16"/>
        </w:rPr>
        <w:t>Kaliña</w:t>
      </w:r>
      <w:proofErr w:type="spellEnd"/>
      <w:r w:rsidRPr="002F649F">
        <w:rPr>
          <w:rStyle w:val="Strong"/>
          <w:rFonts w:ascii="Verdana" w:hAnsi="Verdana"/>
          <w:b w:val="0"/>
          <w:i/>
          <w:sz w:val="16"/>
          <w:szCs w:val="16"/>
        </w:rPr>
        <w:t xml:space="preserve"> y </w:t>
      </w:r>
      <w:proofErr w:type="spellStart"/>
      <w:r w:rsidRPr="002F649F">
        <w:rPr>
          <w:rStyle w:val="Strong"/>
          <w:rFonts w:ascii="Verdana" w:hAnsi="Verdana"/>
          <w:b w:val="0"/>
          <w:i/>
          <w:sz w:val="16"/>
          <w:szCs w:val="16"/>
        </w:rPr>
        <w:t>Lokono</w:t>
      </w:r>
      <w:proofErr w:type="spellEnd"/>
      <w:r w:rsidRPr="002F649F">
        <w:rPr>
          <w:rStyle w:val="Strong"/>
          <w:rFonts w:ascii="Verdana" w:hAnsi="Verdana"/>
          <w:b w:val="0"/>
          <w:i/>
          <w:sz w:val="16"/>
          <w:szCs w:val="16"/>
        </w:rPr>
        <w:t xml:space="preserve"> Vs. Surinam. Fondo, Reparaciones y Costas. </w:t>
      </w:r>
      <w:r w:rsidRPr="002F649F">
        <w:rPr>
          <w:rStyle w:val="Strong"/>
          <w:rFonts w:ascii="Verdana" w:hAnsi="Verdana"/>
          <w:b w:val="0"/>
          <w:sz w:val="16"/>
          <w:szCs w:val="16"/>
        </w:rPr>
        <w:t>Sentencia de 25 de noviembre de 2015. Serie C No. 309.</w:t>
      </w:r>
    </w:p>
    <w:p w14:paraId="758504DA" w14:textId="77777777" w:rsidR="0046241E" w:rsidRPr="002F649F" w:rsidRDefault="0046241E" w:rsidP="002F649F">
      <w:pPr>
        <w:pStyle w:val="FootnoteText"/>
        <w:jc w:val="both"/>
        <w:rPr>
          <w:rFonts w:ascii="Verdana" w:hAnsi="Verdana"/>
          <w:bCs/>
          <w:sz w:val="16"/>
          <w:szCs w:val="16"/>
        </w:rPr>
      </w:pPr>
    </w:p>
  </w:footnote>
  <w:footnote w:id="29">
    <w:p w14:paraId="26289223" w14:textId="5C590041" w:rsidR="0046241E" w:rsidRDefault="0046241E" w:rsidP="002F649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sz w:val="16"/>
          <w:szCs w:val="16"/>
          <w:lang w:val="es-CR"/>
        </w:rPr>
        <w:t xml:space="preserve">Esta aseveración no debe entenderse como que implica negar que en los ámbitos nacionales haya habido igualmente avances. </w:t>
      </w:r>
    </w:p>
    <w:p w14:paraId="0B18076D" w14:textId="77777777" w:rsidR="0046241E" w:rsidRPr="002F649F" w:rsidRDefault="0046241E" w:rsidP="002F649F">
      <w:pPr>
        <w:pStyle w:val="FootnoteText"/>
        <w:jc w:val="both"/>
        <w:rPr>
          <w:rFonts w:ascii="Verdana" w:hAnsi="Verdana"/>
          <w:sz w:val="16"/>
          <w:szCs w:val="16"/>
          <w:lang w:val="es-CR"/>
        </w:rPr>
      </w:pPr>
    </w:p>
  </w:footnote>
  <w:footnote w:id="30">
    <w:p w14:paraId="73184ABC" w14:textId="55CD36DA" w:rsidR="0046241E" w:rsidRPr="00C066E4" w:rsidRDefault="0046241E" w:rsidP="002F649F">
      <w:pPr>
        <w:pStyle w:val="FootnoteText"/>
        <w:jc w:val="both"/>
        <w:rPr>
          <w:rStyle w:val="Hyperlink"/>
          <w:rFonts w:ascii="Verdana" w:hAnsi="Verdana"/>
          <w:color w:val="auto"/>
          <w:sz w:val="16"/>
          <w:szCs w:val="16"/>
          <w:u w:val="none"/>
          <w:lang w:val="es-CR"/>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El mismo se ha conformado a partir de lo decidido por la Asamblea General de la OEA </w:t>
      </w:r>
      <w:r w:rsidRPr="002F649F">
        <w:rPr>
          <w:rFonts w:ascii="Verdana" w:hAnsi="Verdana" w:cs="Tahoma"/>
          <w:color w:val="333333"/>
          <w:sz w:val="16"/>
          <w:szCs w:val="16"/>
        </w:rPr>
        <w:t xml:space="preserve">su Resolución AG/RES. 2262 (XXXVII-O/07). </w:t>
      </w:r>
      <w:r w:rsidRPr="002F649F">
        <w:rPr>
          <w:rFonts w:ascii="Verdana" w:hAnsi="Verdana"/>
          <w:sz w:val="16"/>
          <w:szCs w:val="16"/>
          <w:lang w:val="es-CR"/>
        </w:rPr>
        <w:t xml:space="preserve">Información al respecto puede </w:t>
      </w:r>
      <w:proofErr w:type="spellStart"/>
      <w:r w:rsidRPr="002F649F">
        <w:rPr>
          <w:rFonts w:ascii="Verdana" w:hAnsi="Verdana"/>
          <w:sz w:val="16"/>
          <w:szCs w:val="16"/>
          <w:lang w:val="es-CR"/>
        </w:rPr>
        <w:t>encontarse</w:t>
      </w:r>
      <w:proofErr w:type="spellEnd"/>
      <w:r w:rsidRPr="002F649F">
        <w:rPr>
          <w:rFonts w:ascii="Verdana" w:hAnsi="Verdana"/>
          <w:sz w:val="16"/>
          <w:szCs w:val="16"/>
          <w:lang w:val="es-CR"/>
        </w:rPr>
        <w:t xml:space="preserve"> en el siguiente sitio de internet: </w:t>
      </w:r>
      <w:hyperlink r:id="rId3" w:history="1">
        <w:r w:rsidRPr="00C066E4">
          <w:rPr>
            <w:rStyle w:val="Hyperlink"/>
            <w:rFonts w:ascii="Verdana" w:hAnsi="Verdana"/>
            <w:color w:val="auto"/>
            <w:sz w:val="16"/>
            <w:szCs w:val="16"/>
            <w:u w:val="none"/>
            <w:lang w:val="es-CR"/>
          </w:rPr>
          <w:t>http://www.oas.org/es/sadye/inclusion-social/protocolo-ssv/grupo-trabajo.asp</w:t>
        </w:r>
      </w:hyperlink>
    </w:p>
    <w:p w14:paraId="33E18730" w14:textId="77777777" w:rsidR="0046241E" w:rsidRPr="002F649F" w:rsidRDefault="0046241E" w:rsidP="002F649F">
      <w:pPr>
        <w:pStyle w:val="FootnoteText"/>
        <w:jc w:val="both"/>
        <w:rPr>
          <w:rFonts w:ascii="Verdana" w:hAnsi="Verdana"/>
          <w:sz w:val="16"/>
          <w:szCs w:val="16"/>
          <w:lang w:val="es-CR"/>
        </w:rPr>
      </w:pPr>
    </w:p>
  </w:footnote>
  <w:footnote w:id="31">
    <w:p w14:paraId="18BE5156" w14:textId="55622F28" w:rsidR="0046241E" w:rsidRDefault="0046241E" w:rsidP="002F649F">
      <w:pPr>
        <w:pStyle w:val="FootnoteText"/>
        <w:jc w:val="both"/>
        <w:rPr>
          <w:rStyle w:val="Strong"/>
          <w:rFonts w:ascii="Verdana" w:hAnsi="Verdana"/>
          <w:b w:val="0"/>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sz w:val="16"/>
          <w:szCs w:val="16"/>
          <w:lang w:val="es-CR"/>
        </w:rPr>
        <w:t xml:space="preserve">Esto, a su vez, podría, eventualmente y de acuerdo a las circunstancias del caso, ser de utilidad para el Tribunal Interamericano, como también lo ha sido información generada por otros órganos. Así, por ejemplo, en el caso </w:t>
      </w:r>
      <w:r w:rsidRPr="002F649F">
        <w:rPr>
          <w:rFonts w:ascii="Verdana" w:hAnsi="Verdana"/>
          <w:i/>
          <w:sz w:val="16"/>
          <w:szCs w:val="16"/>
          <w:lang w:val="es-CR"/>
        </w:rPr>
        <w:t>V</w:t>
      </w:r>
      <w:r>
        <w:rPr>
          <w:rFonts w:ascii="Verdana" w:hAnsi="Verdana"/>
          <w:i/>
          <w:sz w:val="16"/>
          <w:szCs w:val="16"/>
          <w:lang w:val="es-CR"/>
        </w:rPr>
        <w:t>e</w:t>
      </w:r>
      <w:r w:rsidRPr="002F649F">
        <w:rPr>
          <w:rFonts w:ascii="Verdana" w:hAnsi="Verdana"/>
          <w:i/>
          <w:sz w:val="16"/>
          <w:szCs w:val="16"/>
          <w:lang w:val="es-CR"/>
        </w:rPr>
        <w:t>liz Franco y otros Vs. Guatemala</w:t>
      </w:r>
      <w:r w:rsidRPr="002F649F">
        <w:rPr>
          <w:rFonts w:ascii="Verdana" w:hAnsi="Verdana"/>
          <w:sz w:val="16"/>
          <w:szCs w:val="16"/>
          <w:lang w:val="es-CR"/>
        </w:rPr>
        <w:t xml:space="preserve"> se tuvo en consideración documentación emitida por el Mecanismo de Seguimiento de</w:t>
      </w:r>
      <w:r>
        <w:rPr>
          <w:rFonts w:ascii="Verdana" w:hAnsi="Verdana"/>
          <w:sz w:val="16"/>
          <w:szCs w:val="16"/>
          <w:lang w:val="es-CR"/>
        </w:rPr>
        <w:t xml:space="preserve"> la Convención de Belém do Pará. </w:t>
      </w:r>
      <w:r w:rsidRPr="002F649F">
        <w:rPr>
          <w:rFonts w:ascii="Verdana" w:hAnsi="Verdana"/>
          <w:i/>
          <w:sz w:val="16"/>
          <w:szCs w:val="16"/>
          <w:lang w:val="es-CR"/>
        </w:rPr>
        <w:t>Cfr</w:t>
      </w:r>
      <w:r w:rsidRPr="002F649F">
        <w:rPr>
          <w:rFonts w:ascii="Verdana" w:hAnsi="Verdana"/>
          <w:sz w:val="16"/>
          <w:szCs w:val="16"/>
          <w:lang w:val="es-CR"/>
        </w:rPr>
        <w:t xml:space="preserve">. Corte IDH. </w:t>
      </w:r>
      <w:r w:rsidRPr="002F649F">
        <w:rPr>
          <w:rStyle w:val="Strong"/>
          <w:rFonts w:ascii="Verdana" w:hAnsi="Verdana"/>
          <w:b w:val="0"/>
          <w:i/>
          <w:sz w:val="16"/>
          <w:szCs w:val="16"/>
        </w:rPr>
        <w:t xml:space="preserve">Caso Veliz Franco y otros Vs. Guatemala. Excepciones Preliminares, Fondo, Reparaciones y Costas. </w:t>
      </w:r>
      <w:r w:rsidRPr="002F649F">
        <w:rPr>
          <w:rStyle w:val="Strong"/>
          <w:rFonts w:ascii="Verdana" w:hAnsi="Verdana"/>
          <w:b w:val="0"/>
          <w:sz w:val="16"/>
          <w:szCs w:val="16"/>
        </w:rPr>
        <w:t xml:space="preserve">Sentencia de 19 de mayo de </w:t>
      </w:r>
      <w:r>
        <w:rPr>
          <w:rStyle w:val="Strong"/>
          <w:rFonts w:ascii="Verdana" w:hAnsi="Verdana"/>
          <w:b w:val="0"/>
          <w:sz w:val="16"/>
          <w:szCs w:val="16"/>
        </w:rPr>
        <w:t>2014. Serie C No. 277, párr. 71</w:t>
      </w:r>
      <w:r w:rsidRPr="002F649F">
        <w:rPr>
          <w:rStyle w:val="Strong"/>
          <w:rFonts w:ascii="Verdana" w:hAnsi="Verdana"/>
          <w:b w:val="0"/>
          <w:sz w:val="16"/>
          <w:szCs w:val="16"/>
        </w:rPr>
        <w:t>.</w:t>
      </w:r>
    </w:p>
    <w:p w14:paraId="6E0C04D1" w14:textId="77777777" w:rsidR="0046241E" w:rsidRPr="002F649F" w:rsidRDefault="0046241E" w:rsidP="002F649F">
      <w:pPr>
        <w:pStyle w:val="FootnoteText"/>
        <w:jc w:val="both"/>
        <w:rPr>
          <w:rFonts w:ascii="Verdana" w:hAnsi="Verdana"/>
          <w:b/>
          <w:bCs/>
          <w:sz w:val="16"/>
          <w:szCs w:val="16"/>
        </w:rPr>
      </w:pPr>
    </w:p>
  </w:footnote>
  <w:footnote w:id="32">
    <w:p w14:paraId="58430717" w14:textId="6B79EA6F" w:rsidR="0046241E"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Adoptado el 10 de diciembre de 2008. Entró en vigor el 5 de mayo de 2013. </w:t>
      </w:r>
    </w:p>
    <w:p w14:paraId="33D42554" w14:textId="77777777" w:rsidR="0046241E" w:rsidRPr="002F649F" w:rsidRDefault="0046241E" w:rsidP="002F649F">
      <w:pPr>
        <w:pStyle w:val="FootnoteText"/>
        <w:jc w:val="both"/>
        <w:rPr>
          <w:rFonts w:ascii="Verdana" w:hAnsi="Verdana"/>
          <w:sz w:val="16"/>
          <w:szCs w:val="16"/>
        </w:rPr>
      </w:pPr>
    </w:p>
  </w:footnote>
  <w:footnote w:id="33">
    <w:p w14:paraId="5CD9ED6C" w14:textId="5462F0F0" w:rsidR="0046241E" w:rsidRDefault="0046241E" w:rsidP="002F649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i/>
          <w:sz w:val="16"/>
          <w:szCs w:val="16"/>
          <w:lang w:val="es-CR"/>
        </w:rPr>
        <w:t>Cfr.</w:t>
      </w:r>
      <w:r w:rsidRPr="002F649F">
        <w:rPr>
          <w:rFonts w:ascii="Verdana" w:hAnsi="Verdana"/>
          <w:sz w:val="16"/>
          <w:szCs w:val="16"/>
          <w:lang w:val="es-CR"/>
        </w:rPr>
        <w:t xml:space="preserve"> Dictamen de 7 de junio de 2015, </w:t>
      </w:r>
      <w:proofErr w:type="spellStart"/>
      <w:r w:rsidRPr="002F649F">
        <w:rPr>
          <w:rFonts w:ascii="Verdana" w:hAnsi="Verdana"/>
          <w:sz w:val="16"/>
          <w:szCs w:val="16"/>
          <w:lang w:val="es-CR"/>
        </w:rPr>
        <w:t>repecto</w:t>
      </w:r>
      <w:proofErr w:type="spellEnd"/>
      <w:r w:rsidRPr="002F649F">
        <w:rPr>
          <w:rFonts w:ascii="Verdana" w:hAnsi="Verdana"/>
          <w:sz w:val="16"/>
          <w:szCs w:val="16"/>
          <w:lang w:val="es-CR"/>
        </w:rPr>
        <w:t xml:space="preserve"> de la Comunicación núm. 2/2014, caso </w:t>
      </w:r>
      <w:r w:rsidRPr="002F649F">
        <w:rPr>
          <w:rFonts w:ascii="Verdana" w:hAnsi="Verdana"/>
          <w:i/>
          <w:sz w:val="16"/>
          <w:szCs w:val="16"/>
        </w:rPr>
        <w:t>I.D.G.</w:t>
      </w:r>
      <w:r w:rsidRPr="002F649F">
        <w:rPr>
          <w:rFonts w:ascii="Verdana" w:hAnsi="Verdana"/>
          <w:sz w:val="16"/>
          <w:szCs w:val="16"/>
        </w:rPr>
        <w:t xml:space="preserve"> respecto de España. E</w:t>
      </w:r>
      <w:r w:rsidRPr="002F649F">
        <w:rPr>
          <w:rFonts w:ascii="Verdana" w:hAnsi="Verdana"/>
          <w:sz w:val="16"/>
          <w:szCs w:val="16"/>
          <w:lang w:val="es-CR"/>
        </w:rPr>
        <w:t xml:space="preserve">n los párrafos 15 y 16 de ese dictamen el Comité DESC “actuando en virtud del artículo 9, párrafo 1 del Protocolo Facultativo, </w:t>
      </w:r>
      <w:proofErr w:type="spellStart"/>
      <w:r w:rsidRPr="002F649F">
        <w:rPr>
          <w:rFonts w:ascii="Verdana" w:hAnsi="Verdana"/>
          <w:sz w:val="16"/>
          <w:szCs w:val="16"/>
          <w:lang w:val="es-CR"/>
        </w:rPr>
        <w:t>dictamin</w:t>
      </w:r>
      <w:proofErr w:type="spellEnd"/>
      <w:r w:rsidRPr="002F649F">
        <w:rPr>
          <w:rFonts w:ascii="Verdana" w:hAnsi="Verdana"/>
          <w:sz w:val="16"/>
          <w:szCs w:val="16"/>
          <w:lang w:val="es-CR"/>
        </w:rPr>
        <w:t>[</w:t>
      </w:r>
      <w:proofErr w:type="spellStart"/>
      <w:r w:rsidRPr="002F649F">
        <w:rPr>
          <w:rFonts w:ascii="Verdana" w:hAnsi="Verdana"/>
          <w:sz w:val="16"/>
          <w:szCs w:val="16"/>
          <w:lang w:val="es-CR"/>
        </w:rPr>
        <w:t>ó</w:t>
      </w:r>
      <w:proofErr w:type="spellEnd"/>
      <w:r w:rsidRPr="002F649F">
        <w:rPr>
          <w:rFonts w:ascii="Verdana" w:hAnsi="Verdana"/>
          <w:sz w:val="16"/>
          <w:szCs w:val="16"/>
          <w:lang w:val="es-CR"/>
        </w:rPr>
        <w:t xml:space="preserve">] que al incumplir su obligación de proveer a la autora con un recurso efectivo, el Estado parte violó sus derechos en virtud del artículo 11, párrafo 1 del Pacto, leído conjuntamente con el artículo 2, párrafo 1, del Pacto. A la luz del dictamen en la presente comunicación, el Comité </w:t>
      </w:r>
      <w:proofErr w:type="spellStart"/>
      <w:r w:rsidRPr="002F649F">
        <w:rPr>
          <w:rFonts w:ascii="Verdana" w:hAnsi="Verdana"/>
          <w:sz w:val="16"/>
          <w:szCs w:val="16"/>
          <w:lang w:val="es-CR"/>
        </w:rPr>
        <w:t>formul</w:t>
      </w:r>
      <w:proofErr w:type="spellEnd"/>
      <w:r w:rsidRPr="002F649F">
        <w:rPr>
          <w:rFonts w:ascii="Verdana" w:hAnsi="Verdana"/>
          <w:sz w:val="16"/>
          <w:szCs w:val="16"/>
          <w:lang w:val="es-CR"/>
        </w:rPr>
        <w:t>[</w:t>
      </w:r>
      <w:proofErr w:type="spellStart"/>
      <w:r w:rsidRPr="002F649F">
        <w:rPr>
          <w:rFonts w:ascii="Verdana" w:hAnsi="Verdana"/>
          <w:sz w:val="16"/>
          <w:szCs w:val="16"/>
          <w:lang w:val="es-CR"/>
        </w:rPr>
        <w:t>ó</w:t>
      </w:r>
      <w:proofErr w:type="spellEnd"/>
      <w:r w:rsidRPr="002F649F">
        <w:rPr>
          <w:rFonts w:ascii="Verdana" w:hAnsi="Verdana"/>
          <w:sz w:val="16"/>
          <w:szCs w:val="16"/>
          <w:lang w:val="es-CR"/>
        </w:rPr>
        <w:t xml:space="preserve">, </w:t>
      </w:r>
      <w:r w:rsidRPr="002F649F">
        <w:rPr>
          <w:rFonts w:ascii="Verdana" w:hAnsi="Verdana"/>
          <w:i/>
          <w:sz w:val="16"/>
          <w:szCs w:val="16"/>
          <w:lang w:val="es-CR"/>
        </w:rPr>
        <w:t xml:space="preserve">inter </w:t>
      </w:r>
      <w:proofErr w:type="spellStart"/>
      <w:r w:rsidRPr="002F649F">
        <w:rPr>
          <w:rFonts w:ascii="Verdana" w:hAnsi="Verdana"/>
          <w:i/>
          <w:sz w:val="16"/>
          <w:szCs w:val="16"/>
          <w:lang w:val="es-CR"/>
        </w:rPr>
        <w:t>alia</w:t>
      </w:r>
      <w:proofErr w:type="spellEnd"/>
      <w:r w:rsidRPr="002F649F">
        <w:rPr>
          <w:rFonts w:ascii="Verdana" w:hAnsi="Verdana"/>
          <w:i/>
          <w:sz w:val="16"/>
          <w:szCs w:val="16"/>
          <w:lang w:val="es-CR"/>
        </w:rPr>
        <w:t>,</w:t>
      </w:r>
      <w:r w:rsidRPr="002F649F">
        <w:rPr>
          <w:rFonts w:ascii="Verdana" w:hAnsi="Verdana"/>
          <w:sz w:val="16"/>
          <w:szCs w:val="16"/>
          <w:lang w:val="es-CR"/>
        </w:rPr>
        <w:t xml:space="preserve">] la […] siguientes </w:t>
      </w:r>
      <w:proofErr w:type="spellStart"/>
      <w:r w:rsidRPr="002F649F">
        <w:rPr>
          <w:rFonts w:ascii="Verdana" w:hAnsi="Verdana"/>
          <w:sz w:val="16"/>
          <w:szCs w:val="16"/>
          <w:lang w:val="es-CR"/>
        </w:rPr>
        <w:t>recomendaci</w:t>
      </w:r>
      <w:proofErr w:type="spellEnd"/>
      <w:r w:rsidRPr="002F649F">
        <w:rPr>
          <w:rFonts w:ascii="Verdana" w:hAnsi="Verdana"/>
          <w:sz w:val="16"/>
          <w:szCs w:val="16"/>
          <w:lang w:val="es-CR"/>
        </w:rPr>
        <w:t>[</w:t>
      </w:r>
      <w:proofErr w:type="spellStart"/>
      <w:r w:rsidRPr="002F649F">
        <w:rPr>
          <w:rFonts w:ascii="Verdana" w:hAnsi="Verdana"/>
          <w:sz w:val="16"/>
          <w:szCs w:val="16"/>
          <w:lang w:val="es-CR"/>
        </w:rPr>
        <w:t>ón</w:t>
      </w:r>
      <w:proofErr w:type="spellEnd"/>
      <w:r w:rsidRPr="002F649F">
        <w:rPr>
          <w:rFonts w:ascii="Verdana" w:hAnsi="Verdana"/>
          <w:sz w:val="16"/>
          <w:szCs w:val="16"/>
          <w:lang w:val="es-CR"/>
        </w:rPr>
        <w:t>] al Estado parte[:…] proporcionar a la autora una reparación efectiva, en particular[,] asegurar que la subasta de la vivienda de la autora no se ejecute sin que ella cuente con la debida protección procesal y un proceso con las debidas garantías, conforme a las disposiciones del</w:t>
      </w:r>
      <w:r>
        <w:rPr>
          <w:rFonts w:ascii="Verdana" w:hAnsi="Verdana"/>
          <w:sz w:val="16"/>
          <w:szCs w:val="16"/>
          <w:lang w:val="es-CR"/>
        </w:rPr>
        <w:t xml:space="preserve"> Pacto y tomando en cuenta las Observaciones G</w:t>
      </w:r>
      <w:r w:rsidRPr="002F649F">
        <w:rPr>
          <w:rFonts w:ascii="Verdana" w:hAnsi="Verdana"/>
          <w:sz w:val="16"/>
          <w:szCs w:val="16"/>
          <w:lang w:val="es-CR"/>
        </w:rPr>
        <w:t xml:space="preserve">enerales del Comité núm. 4 y 7”. </w:t>
      </w:r>
    </w:p>
    <w:p w14:paraId="5E21B199" w14:textId="77777777" w:rsidR="0046241E" w:rsidRPr="002F649F" w:rsidRDefault="0046241E" w:rsidP="002F649F">
      <w:pPr>
        <w:pStyle w:val="FootnoteText"/>
        <w:jc w:val="both"/>
        <w:rPr>
          <w:rFonts w:ascii="Verdana" w:hAnsi="Verdana"/>
          <w:sz w:val="16"/>
          <w:szCs w:val="16"/>
          <w:lang w:val="es-CR"/>
        </w:rPr>
      </w:pPr>
    </w:p>
  </w:footnote>
  <w:footnote w:id="34">
    <w:p w14:paraId="31B09A23" w14:textId="52DEC4D0" w:rsidR="0046241E" w:rsidRDefault="0046241E" w:rsidP="002F649F">
      <w:pPr>
        <w:pStyle w:val="FootnoteText"/>
        <w:jc w:val="both"/>
        <w:rPr>
          <w:rFonts w:ascii="Verdana" w:hAnsi="Verdana"/>
          <w:sz w:val="16"/>
          <w:szCs w:val="16"/>
          <w:lang w:val="es-ES_tradnl"/>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sz w:val="16"/>
          <w:szCs w:val="16"/>
          <w:lang w:val="es-ES_tradnl"/>
        </w:rPr>
        <w:t xml:space="preserve">Art. 7 de la </w:t>
      </w:r>
      <w:r w:rsidRPr="002F649F">
        <w:rPr>
          <w:rFonts w:ascii="Verdana" w:hAnsi="Verdana"/>
          <w:i/>
          <w:sz w:val="16"/>
          <w:szCs w:val="16"/>
          <w:lang w:val="es-ES_tradnl"/>
        </w:rPr>
        <w:t xml:space="preserve">Carta Social de las Américas, </w:t>
      </w:r>
      <w:r w:rsidRPr="002F649F">
        <w:rPr>
          <w:rFonts w:ascii="Verdana" w:hAnsi="Verdana"/>
          <w:sz w:val="16"/>
          <w:szCs w:val="16"/>
          <w:lang w:val="es-ES_tradnl"/>
        </w:rPr>
        <w:t>aprobada por la Asamblea General de la OEA el 4 de junio del 2012,</w:t>
      </w:r>
      <w:r w:rsidRPr="002F649F">
        <w:rPr>
          <w:rFonts w:ascii="Verdana" w:hAnsi="Verdana"/>
          <w:i/>
          <w:sz w:val="16"/>
          <w:szCs w:val="16"/>
          <w:lang w:val="es-ES_tradnl"/>
        </w:rPr>
        <w:t xml:space="preserve">  </w:t>
      </w:r>
      <w:r w:rsidRPr="002F649F">
        <w:rPr>
          <w:rFonts w:ascii="Verdana" w:hAnsi="Verdana"/>
          <w:sz w:val="16"/>
          <w:szCs w:val="16"/>
          <w:lang w:val="es-ES_tradnl"/>
        </w:rPr>
        <w:t>OEA/</w:t>
      </w:r>
      <w:proofErr w:type="spellStart"/>
      <w:r w:rsidRPr="002F649F">
        <w:rPr>
          <w:rFonts w:ascii="Verdana" w:hAnsi="Verdana"/>
          <w:sz w:val="16"/>
          <w:szCs w:val="16"/>
          <w:lang w:val="es-ES_tradnl"/>
        </w:rPr>
        <w:t>Ser.P</w:t>
      </w:r>
      <w:proofErr w:type="spellEnd"/>
      <w:r w:rsidRPr="002F649F">
        <w:rPr>
          <w:rFonts w:ascii="Verdana" w:hAnsi="Verdana"/>
          <w:sz w:val="16"/>
          <w:szCs w:val="16"/>
          <w:lang w:val="es-ES_tradnl"/>
        </w:rPr>
        <w:t>/AG/doc5242/12rev.2</w:t>
      </w:r>
      <w:r w:rsidRPr="002F649F">
        <w:rPr>
          <w:rFonts w:ascii="Verdana" w:hAnsi="Verdana"/>
          <w:i/>
          <w:sz w:val="16"/>
          <w:szCs w:val="16"/>
          <w:lang w:val="es-ES_tradnl"/>
        </w:rPr>
        <w:t xml:space="preserve">, </w:t>
      </w:r>
      <w:r w:rsidRPr="002F649F">
        <w:rPr>
          <w:rFonts w:ascii="Verdana" w:hAnsi="Verdana"/>
          <w:sz w:val="16"/>
          <w:szCs w:val="16"/>
          <w:lang w:val="es-ES_tradnl"/>
        </w:rPr>
        <w:t>Cochabamba, Bolivia.</w:t>
      </w:r>
    </w:p>
    <w:p w14:paraId="4DA7152B" w14:textId="77777777" w:rsidR="0046241E" w:rsidRPr="002F649F" w:rsidRDefault="0046241E" w:rsidP="002F649F">
      <w:pPr>
        <w:pStyle w:val="FootnoteText"/>
        <w:jc w:val="both"/>
        <w:rPr>
          <w:rFonts w:ascii="Verdana" w:hAnsi="Verdana"/>
          <w:i/>
          <w:sz w:val="16"/>
          <w:szCs w:val="16"/>
          <w:lang w:val="es-ES_tradnl"/>
        </w:rPr>
      </w:pPr>
    </w:p>
  </w:footnote>
  <w:footnote w:id="35">
    <w:p w14:paraId="6D28C8F4" w14:textId="77B8047C" w:rsidR="0046241E" w:rsidRDefault="0046241E" w:rsidP="002F649F">
      <w:pPr>
        <w:pStyle w:val="FootnoteText"/>
        <w:jc w:val="both"/>
        <w:rPr>
          <w:rFonts w:ascii="Verdana" w:hAnsi="Verdana"/>
          <w:sz w:val="16"/>
          <w:szCs w:val="16"/>
          <w:lang w:val="es-CR"/>
        </w:rPr>
      </w:pPr>
      <w:r w:rsidRPr="008A6A34">
        <w:rPr>
          <w:rStyle w:val="FootnoteReference"/>
          <w:rFonts w:ascii="Verdana" w:hAnsi="Verdana"/>
          <w:sz w:val="16"/>
          <w:szCs w:val="16"/>
        </w:rPr>
        <w:footnoteRef/>
      </w:r>
      <w:r w:rsidRPr="008A6A34">
        <w:rPr>
          <w:rFonts w:ascii="Verdana" w:hAnsi="Verdana"/>
          <w:sz w:val="16"/>
          <w:szCs w:val="16"/>
        </w:rPr>
        <w:t xml:space="preserve"> </w:t>
      </w:r>
      <w:r w:rsidRPr="008A6A34">
        <w:rPr>
          <w:rFonts w:ascii="Verdana" w:hAnsi="Verdana"/>
          <w:sz w:val="16"/>
          <w:szCs w:val="16"/>
        </w:rPr>
        <w:tab/>
      </w:r>
      <w:r w:rsidRPr="008A6A34">
        <w:rPr>
          <w:rFonts w:ascii="Verdana" w:hAnsi="Verdana"/>
          <w:sz w:val="16"/>
          <w:szCs w:val="16"/>
          <w:lang w:val="es-CR"/>
        </w:rPr>
        <w:t>Adoptada el 15 de junio de 2015, en Washington, D.C., en el Cuadragésimo Quinto Período Ordinario de Sesiones de la Asamblea General de la OEA. De conformidad con el art. 37, dicha Convención entrará en vigor en el trigésimo día a partir de la fecha en que se haya depositado el segundo instrumento de ratificación o adhesión en la Secretaría General de la OEA. Al momento de redactar el presente voto, Costa Rica realizó el depósito respectivo el 12 de diciembre de 2016, siendo que Uruguay ya lo había realizado el 18 de noviembre del mismo año.</w:t>
      </w:r>
      <w:r w:rsidRPr="002F649F">
        <w:rPr>
          <w:rFonts w:ascii="Verdana" w:hAnsi="Verdana"/>
          <w:sz w:val="16"/>
          <w:szCs w:val="16"/>
          <w:lang w:val="es-CR"/>
        </w:rPr>
        <w:t xml:space="preserve"> </w:t>
      </w:r>
    </w:p>
    <w:p w14:paraId="1DE4039E" w14:textId="77777777" w:rsidR="0046241E" w:rsidRPr="002F649F" w:rsidRDefault="0046241E" w:rsidP="002F649F">
      <w:pPr>
        <w:pStyle w:val="FootnoteText"/>
        <w:jc w:val="both"/>
        <w:rPr>
          <w:rFonts w:ascii="Verdana" w:hAnsi="Verdana"/>
          <w:sz w:val="16"/>
          <w:szCs w:val="16"/>
          <w:lang w:val="es-CR"/>
        </w:rPr>
      </w:pPr>
    </w:p>
  </w:footnote>
  <w:footnote w:id="36">
    <w:p w14:paraId="3B3876C2" w14:textId="1339982E" w:rsidR="0046241E" w:rsidRDefault="0046241E" w:rsidP="002F649F">
      <w:pPr>
        <w:pStyle w:val="FootnoteText"/>
        <w:jc w:val="both"/>
        <w:rPr>
          <w:rFonts w:ascii="Verdana" w:hAnsi="Verdana"/>
          <w:sz w:val="16"/>
          <w:szCs w:val="16"/>
          <w:lang w:val="es-CO"/>
        </w:rPr>
      </w:pPr>
      <w:r w:rsidRPr="002F649F">
        <w:rPr>
          <w:rStyle w:val="FootnoteReference"/>
          <w:rFonts w:ascii="Verdana" w:hAnsi="Verdana"/>
          <w:sz w:val="16"/>
          <w:szCs w:val="16"/>
        </w:rPr>
        <w:footnoteRef/>
      </w:r>
      <w:r w:rsidRPr="002F649F">
        <w:rPr>
          <w:rFonts w:ascii="Verdana" w:hAnsi="Verdana"/>
          <w:sz w:val="16"/>
          <w:szCs w:val="16"/>
        </w:rPr>
        <w:t xml:space="preserve"> </w:t>
      </w:r>
      <w:r>
        <w:rPr>
          <w:rFonts w:ascii="Verdana" w:hAnsi="Verdana"/>
          <w:sz w:val="16"/>
          <w:szCs w:val="16"/>
          <w:lang w:val="es-CO"/>
        </w:rPr>
        <w:tab/>
        <w:t xml:space="preserve">El artículo 36 establece: </w:t>
      </w:r>
      <w:r w:rsidRPr="002F649F">
        <w:rPr>
          <w:rFonts w:ascii="Verdana" w:hAnsi="Verdana"/>
          <w:sz w:val="16"/>
          <w:szCs w:val="16"/>
          <w:lang w:val="es-CO"/>
        </w:rPr>
        <w:t>“Sistema de peticiones individuales. Cualquier persona o grupo de personas, o entidad no gubernamental legalmente reconocida en uno o más Estados Miembros de la Organización de los Estados Americanos, puede presentar a la Comisión Interamericana de Derechos Humanos peticiones que contengan denuncias o quejas de violación de alguno de los artículos de la presente Convención por un Estado Parte. / Para el desarrollo de lo previsto en el presente artículo se tendrá en cuenta la naturaleza progresiva de la vigencia de los derechos económicos, sociales y culturales objeto de protección por la presente Convención. / Asimismo, todo Estado Parte puede, en el momento del depósito de su instrumento de ratificación o de adhesión a la presente Convención, o en cualquier momento posterior, declarar que reconoce la competencia de la Comisión Interamericana de Derechos Humanos para recibir y examinar las comunicaciones en que un Estado Parte alegue que otro Estado Parte ha incurrido en violaciones de los derechos humanos establecidos en la presente Convención. En dicho caso, se aplicarán todas las normas de procedimiento pertinentes contenidas en la Convención Americana sobre Derechos Humanos. / […] Todo Estado Parte puede, en el momento del depósito de su instrumento de ratificación o de adhesión a la presente Convención, o en cualquier momento posterior, declarar que reconoce como obligatoria y de pleno derecho y sin acuerdo especial la competencia de la Corte Interamericana de Derechos Humanos sobre todos los casos relativos a la interpretación o aplicación de la presente Convención. En dicho caso, se aplicarán todas las normas de procedimiento pertinentes contenidas en la Convención Americana sobre Derechos Humanos</w:t>
      </w:r>
      <w:r>
        <w:rPr>
          <w:rFonts w:ascii="Verdana" w:hAnsi="Verdana"/>
          <w:sz w:val="16"/>
          <w:szCs w:val="16"/>
          <w:lang w:val="es-CO"/>
        </w:rPr>
        <w:t>”</w:t>
      </w:r>
      <w:r w:rsidRPr="002F649F">
        <w:rPr>
          <w:rFonts w:ascii="Verdana" w:hAnsi="Verdana"/>
          <w:sz w:val="16"/>
          <w:szCs w:val="16"/>
          <w:lang w:val="es-CO"/>
        </w:rPr>
        <w:t>.</w:t>
      </w:r>
    </w:p>
    <w:p w14:paraId="7CA74855" w14:textId="77777777" w:rsidR="0046241E" w:rsidRPr="002F649F" w:rsidRDefault="0046241E" w:rsidP="002F649F">
      <w:pPr>
        <w:pStyle w:val="FootnoteText"/>
        <w:jc w:val="both"/>
        <w:rPr>
          <w:rFonts w:ascii="Verdana" w:hAnsi="Verdana"/>
          <w:sz w:val="16"/>
          <w:szCs w:val="16"/>
          <w:lang w:val="es-CO"/>
        </w:rPr>
      </w:pPr>
    </w:p>
  </w:footnote>
  <w:footnote w:id="37">
    <w:p w14:paraId="374CF09A" w14:textId="68DF5841" w:rsidR="0046241E" w:rsidRPr="008A6A34" w:rsidRDefault="0046241E" w:rsidP="00E34D24">
      <w:pPr>
        <w:pStyle w:val="FootnoteText"/>
        <w:jc w:val="both"/>
        <w:rPr>
          <w:rFonts w:ascii="Verdana" w:hAnsi="Verdana"/>
          <w:sz w:val="16"/>
          <w:szCs w:val="16"/>
          <w:lang w:val="es-ES_tradnl"/>
        </w:rPr>
      </w:pPr>
      <w:r w:rsidRPr="008A6A34">
        <w:rPr>
          <w:rStyle w:val="FootnoteReference"/>
          <w:rFonts w:ascii="Verdana" w:hAnsi="Verdana"/>
          <w:sz w:val="16"/>
          <w:szCs w:val="16"/>
        </w:rPr>
        <w:footnoteRef/>
      </w:r>
      <w:r w:rsidRPr="008A6A34">
        <w:rPr>
          <w:rFonts w:ascii="Verdana" w:hAnsi="Verdana"/>
          <w:sz w:val="16"/>
          <w:szCs w:val="16"/>
        </w:rPr>
        <w:t xml:space="preserve"> </w:t>
      </w:r>
      <w:r w:rsidRPr="008A6A34">
        <w:rPr>
          <w:rFonts w:ascii="Verdana" w:hAnsi="Verdana"/>
          <w:sz w:val="16"/>
          <w:szCs w:val="16"/>
        </w:rPr>
        <w:tab/>
        <w:t>Véa</w:t>
      </w:r>
      <w:r>
        <w:rPr>
          <w:rFonts w:ascii="Verdana" w:hAnsi="Verdana"/>
          <w:sz w:val="16"/>
          <w:szCs w:val="16"/>
        </w:rPr>
        <w:t>n</w:t>
      </w:r>
      <w:r w:rsidRPr="008A6A34">
        <w:rPr>
          <w:rFonts w:ascii="Verdana" w:hAnsi="Verdana"/>
          <w:sz w:val="16"/>
          <w:szCs w:val="16"/>
        </w:rPr>
        <w:t xml:space="preserve">se las consideraciones que emití sobre la “pobreza” en el Voto Concurrente de la Sentencia del </w:t>
      </w:r>
      <w:r w:rsidRPr="008A6A34">
        <w:rPr>
          <w:rFonts w:ascii="Verdana" w:hAnsi="Verdana" w:cs="Verdana"/>
          <w:bCs/>
          <w:sz w:val="16"/>
          <w:szCs w:val="16"/>
        </w:rPr>
        <w:t xml:space="preserve">caso </w:t>
      </w:r>
      <w:r w:rsidRPr="008A6A34">
        <w:rPr>
          <w:rFonts w:ascii="Verdana" w:hAnsi="Verdana" w:cs="Verdana"/>
          <w:bCs/>
          <w:i/>
          <w:sz w:val="16"/>
          <w:szCs w:val="16"/>
        </w:rPr>
        <w:t>Trabajadores de la Hacienda Brasil Verde Vs. Brasil. Excepciones Preliminares, Fondo, Reparaciones y Costas</w:t>
      </w:r>
      <w:r w:rsidRPr="008A6A34">
        <w:rPr>
          <w:rFonts w:ascii="Verdana" w:hAnsi="Verdana" w:cs="Verdana"/>
          <w:bCs/>
          <w:sz w:val="16"/>
          <w:szCs w:val="16"/>
        </w:rPr>
        <w:t>. Sentencia de 20 de octubre de 2016. Serie C No. 318.</w:t>
      </w:r>
    </w:p>
  </w:footnote>
  <w:footnote w:id="38">
    <w:p w14:paraId="3E2E240B" w14:textId="77777777" w:rsidR="0046241E" w:rsidRPr="008A6A34" w:rsidRDefault="0046241E" w:rsidP="002F649F">
      <w:pPr>
        <w:pStyle w:val="FootnoteText"/>
        <w:jc w:val="both"/>
        <w:rPr>
          <w:rFonts w:ascii="Verdana" w:hAnsi="Verdana"/>
          <w:sz w:val="16"/>
          <w:szCs w:val="16"/>
        </w:rPr>
      </w:pPr>
    </w:p>
    <w:p w14:paraId="03F1477A" w14:textId="4B8832CD" w:rsidR="0046241E"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Corte IDH. </w:t>
      </w:r>
      <w:r w:rsidRPr="002F649F">
        <w:rPr>
          <w:rFonts w:ascii="Verdana" w:hAnsi="Verdana"/>
          <w:i/>
          <w:sz w:val="16"/>
          <w:szCs w:val="16"/>
        </w:rPr>
        <w:t>Caso Acevedo Buendía y otros (“Cesantes y Jubilados de la Contraloría”) Vs. Perú. Excepción Preliminar, Fondo, Reparaciones y Costas</w:t>
      </w:r>
      <w:r w:rsidRPr="002F649F">
        <w:rPr>
          <w:rFonts w:ascii="Verdana" w:hAnsi="Verdana"/>
          <w:sz w:val="16"/>
          <w:szCs w:val="16"/>
        </w:rPr>
        <w:t>. Sentencia de 1 de julio de 2009. Serie C No. 198, párr. 17. Si bien en el presente caso la Corte IDH estimó que no existía violación al artículo 26, dejó abierta su competencia para ello.</w:t>
      </w:r>
    </w:p>
    <w:p w14:paraId="26C4E2CE" w14:textId="77777777" w:rsidR="0046241E" w:rsidRPr="002F649F" w:rsidRDefault="0046241E" w:rsidP="002F649F">
      <w:pPr>
        <w:pStyle w:val="FootnoteText"/>
        <w:jc w:val="both"/>
        <w:rPr>
          <w:rFonts w:ascii="Verdana" w:hAnsi="Verdana"/>
          <w:sz w:val="16"/>
          <w:szCs w:val="16"/>
          <w:lang w:val="es-CR"/>
        </w:rPr>
      </w:pPr>
    </w:p>
  </w:footnote>
  <w:footnote w:id="39">
    <w:p w14:paraId="2786E10A" w14:textId="75D4EA92" w:rsidR="0046241E" w:rsidRDefault="0046241E" w:rsidP="002F649F">
      <w:pPr>
        <w:pStyle w:val="FootnoteText"/>
        <w:jc w:val="both"/>
        <w:rPr>
          <w:rFonts w:ascii="Verdana" w:eastAsia="Calibri" w:hAnsi="Verdana" w:cs="Verdana"/>
          <w:bCs/>
          <w:sz w:val="16"/>
          <w:szCs w:val="16"/>
          <w:lang w:val="es-ES_tradnl"/>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r>
      <w:r w:rsidRPr="002F649F">
        <w:rPr>
          <w:rFonts w:ascii="Verdana" w:hAnsi="Verdana"/>
          <w:i/>
          <w:sz w:val="16"/>
          <w:szCs w:val="16"/>
          <w:lang w:val="es-ES_tradnl"/>
        </w:rPr>
        <w:t xml:space="preserve">Cfr. </w:t>
      </w:r>
      <w:r w:rsidRPr="002F649F">
        <w:rPr>
          <w:rFonts w:ascii="Verdana" w:hAnsi="Verdana"/>
          <w:sz w:val="16"/>
          <w:szCs w:val="16"/>
          <w:lang w:val="es-ES_tradnl"/>
        </w:rPr>
        <w:t xml:space="preserve">Corte IDH. </w:t>
      </w:r>
      <w:r w:rsidRPr="002F649F">
        <w:rPr>
          <w:rFonts w:ascii="Verdana" w:eastAsia="Calibri" w:hAnsi="Verdana" w:cs="Verdana"/>
          <w:bCs/>
          <w:i/>
          <w:sz w:val="16"/>
          <w:szCs w:val="16"/>
          <w:lang w:val="es-ES_tradnl"/>
        </w:rPr>
        <w:t xml:space="preserve">Caso Comunidad Indígena </w:t>
      </w:r>
      <w:proofErr w:type="spellStart"/>
      <w:r w:rsidRPr="002F649F">
        <w:rPr>
          <w:rFonts w:ascii="Verdana" w:eastAsia="Calibri" w:hAnsi="Verdana" w:cs="Verdana"/>
          <w:bCs/>
          <w:i/>
          <w:sz w:val="16"/>
          <w:szCs w:val="16"/>
          <w:lang w:val="es-ES_tradnl"/>
        </w:rPr>
        <w:t>Yakye</w:t>
      </w:r>
      <w:proofErr w:type="spellEnd"/>
      <w:r w:rsidRPr="002F649F">
        <w:rPr>
          <w:rFonts w:ascii="Verdana" w:eastAsia="Calibri" w:hAnsi="Verdana" w:cs="Verdana"/>
          <w:bCs/>
          <w:i/>
          <w:sz w:val="16"/>
          <w:szCs w:val="16"/>
          <w:lang w:val="es-ES_tradnl"/>
        </w:rPr>
        <w:t xml:space="preserve"> Axa Vs. Paraguay. Fondo Reparaciones y Costas.</w:t>
      </w:r>
      <w:r w:rsidRPr="002F649F">
        <w:rPr>
          <w:rFonts w:ascii="Verdana" w:eastAsia="Calibri" w:hAnsi="Verdana" w:cs="Verdana"/>
          <w:bCs/>
          <w:sz w:val="16"/>
          <w:szCs w:val="16"/>
          <w:lang w:val="es-ES_tradnl"/>
        </w:rPr>
        <w:t xml:space="preserve"> Sentencia 17 de junio de 2005. Serie C No. 125, párr. 164 y </w:t>
      </w:r>
      <w:r w:rsidRPr="002F649F">
        <w:rPr>
          <w:rFonts w:ascii="Verdana" w:eastAsia="Calibri" w:hAnsi="Verdana" w:cs="Verdana"/>
          <w:bCs/>
          <w:i/>
          <w:sz w:val="16"/>
          <w:szCs w:val="16"/>
          <w:lang w:val="es-ES_tradnl"/>
        </w:rPr>
        <w:t xml:space="preserve">Caso Comunidad Indígena </w:t>
      </w:r>
      <w:proofErr w:type="spellStart"/>
      <w:r w:rsidRPr="002F649F">
        <w:rPr>
          <w:rFonts w:ascii="Verdana" w:eastAsia="Calibri" w:hAnsi="Verdana" w:cs="Verdana"/>
          <w:bCs/>
          <w:i/>
          <w:sz w:val="16"/>
          <w:szCs w:val="16"/>
          <w:lang w:val="es-ES_tradnl"/>
        </w:rPr>
        <w:t>Sawhoyamaxa</w:t>
      </w:r>
      <w:proofErr w:type="spellEnd"/>
      <w:r w:rsidRPr="002F649F">
        <w:rPr>
          <w:rFonts w:ascii="Verdana" w:eastAsia="Calibri" w:hAnsi="Verdana" w:cs="Verdana"/>
          <w:bCs/>
          <w:i/>
          <w:sz w:val="16"/>
          <w:szCs w:val="16"/>
          <w:lang w:val="es-ES_tradnl"/>
        </w:rPr>
        <w:t xml:space="preserve"> Vs. Paraguay. Fondo, Reparaciones y Costas</w:t>
      </w:r>
      <w:r w:rsidRPr="002F649F">
        <w:rPr>
          <w:rFonts w:ascii="Verdana" w:eastAsia="Calibri" w:hAnsi="Verdana" w:cs="Verdana"/>
          <w:bCs/>
          <w:sz w:val="16"/>
          <w:szCs w:val="16"/>
          <w:lang w:val="es-ES_tradnl"/>
        </w:rPr>
        <w:t>. Sentencia de 29 de marzo de 2006. Serie C No. 146, párr. 168.</w:t>
      </w:r>
    </w:p>
    <w:p w14:paraId="388EEF7F" w14:textId="77777777" w:rsidR="0046241E" w:rsidRPr="002F649F" w:rsidRDefault="0046241E" w:rsidP="002F649F">
      <w:pPr>
        <w:pStyle w:val="FootnoteText"/>
        <w:jc w:val="both"/>
        <w:rPr>
          <w:rFonts w:ascii="Verdana" w:eastAsia="Calibri" w:hAnsi="Verdana" w:cs="Verdana"/>
          <w:bCs/>
          <w:sz w:val="16"/>
          <w:szCs w:val="16"/>
          <w:lang w:val="es-ES_tradnl"/>
        </w:rPr>
      </w:pPr>
    </w:p>
  </w:footnote>
  <w:footnote w:id="40">
    <w:p w14:paraId="0C837226" w14:textId="0437E771" w:rsidR="0046241E" w:rsidRDefault="0046241E" w:rsidP="002F649F">
      <w:pPr>
        <w:pStyle w:val="FootnoteText"/>
        <w:jc w:val="both"/>
        <w:rPr>
          <w:rFonts w:ascii="Verdana" w:hAnsi="Verdana" w:cs="Verdana"/>
          <w:bCs/>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i/>
          <w:sz w:val="16"/>
          <w:szCs w:val="16"/>
        </w:rPr>
        <w:t>Cfr.</w:t>
      </w:r>
      <w:r w:rsidRPr="002F649F">
        <w:rPr>
          <w:rFonts w:ascii="Verdana" w:hAnsi="Verdana"/>
          <w:sz w:val="16"/>
          <w:szCs w:val="16"/>
        </w:rPr>
        <w:t xml:space="preserve">  </w:t>
      </w:r>
      <w:r w:rsidRPr="002F649F">
        <w:rPr>
          <w:rFonts w:ascii="Verdana" w:hAnsi="Verdana" w:cs="Verdana"/>
          <w:bCs/>
          <w:sz w:val="16"/>
          <w:szCs w:val="16"/>
        </w:rPr>
        <w:t xml:space="preserve">Corte IDH. </w:t>
      </w:r>
      <w:r w:rsidRPr="002F649F">
        <w:rPr>
          <w:rFonts w:ascii="Verdana" w:hAnsi="Verdana" w:cs="Verdana"/>
          <w:bCs/>
          <w:i/>
          <w:sz w:val="16"/>
          <w:szCs w:val="16"/>
        </w:rPr>
        <w:t>Caso familia Barrios Vs. Venezuela. Fondo, Reparaciones y Costas</w:t>
      </w:r>
      <w:r w:rsidRPr="002F649F">
        <w:rPr>
          <w:rFonts w:ascii="Verdana" w:hAnsi="Verdana" w:cs="Verdana"/>
          <w:bCs/>
          <w:sz w:val="16"/>
          <w:szCs w:val="16"/>
        </w:rPr>
        <w:t xml:space="preserve">. Sentencia de 24 de noviembre de 2011. Serie C No. 237, </w:t>
      </w:r>
      <w:proofErr w:type="spellStart"/>
      <w:r w:rsidRPr="002F649F">
        <w:rPr>
          <w:rFonts w:ascii="Verdana" w:hAnsi="Verdana" w:cs="Verdana"/>
          <w:bCs/>
          <w:sz w:val="16"/>
          <w:szCs w:val="16"/>
        </w:rPr>
        <w:t>párrs</w:t>
      </w:r>
      <w:proofErr w:type="spellEnd"/>
      <w:r w:rsidRPr="002F649F">
        <w:rPr>
          <w:rFonts w:ascii="Verdana" w:hAnsi="Verdana" w:cs="Verdana"/>
          <w:bCs/>
          <w:sz w:val="16"/>
          <w:szCs w:val="16"/>
        </w:rPr>
        <w:t xml:space="preserve">. </w:t>
      </w:r>
      <w:r w:rsidRPr="002F649F">
        <w:rPr>
          <w:rFonts w:ascii="Verdana" w:hAnsi="Verdana"/>
          <w:sz w:val="16"/>
          <w:szCs w:val="16"/>
        </w:rPr>
        <w:t>148 a 150 y</w:t>
      </w:r>
      <w:r w:rsidRPr="002F649F">
        <w:rPr>
          <w:rFonts w:ascii="Verdana" w:hAnsi="Verdana" w:cs="Verdana"/>
          <w:bCs/>
          <w:sz w:val="16"/>
          <w:szCs w:val="16"/>
        </w:rPr>
        <w:t xml:space="preserve"> </w:t>
      </w:r>
      <w:r w:rsidRPr="002F649F">
        <w:rPr>
          <w:rFonts w:ascii="Verdana" w:hAnsi="Verdana" w:cs="Verdana"/>
          <w:bCs/>
          <w:i/>
          <w:sz w:val="16"/>
          <w:szCs w:val="16"/>
        </w:rPr>
        <w:t xml:space="preserve">Caso </w:t>
      </w:r>
      <w:proofErr w:type="spellStart"/>
      <w:r w:rsidRPr="002F649F">
        <w:rPr>
          <w:rFonts w:ascii="Verdana" w:hAnsi="Verdana" w:cs="Verdana"/>
          <w:bCs/>
          <w:i/>
          <w:sz w:val="16"/>
          <w:szCs w:val="16"/>
        </w:rPr>
        <w:t>Uzcátegui</w:t>
      </w:r>
      <w:proofErr w:type="spellEnd"/>
      <w:r w:rsidRPr="002F649F">
        <w:rPr>
          <w:rFonts w:ascii="Verdana" w:hAnsi="Verdana" w:cs="Verdana"/>
          <w:bCs/>
          <w:i/>
          <w:sz w:val="16"/>
          <w:szCs w:val="16"/>
        </w:rPr>
        <w:t xml:space="preserve"> y otros Vs. Venezuela. Fondo y Reparaciones</w:t>
      </w:r>
      <w:r w:rsidRPr="002F649F">
        <w:rPr>
          <w:rFonts w:ascii="Verdana" w:hAnsi="Verdana" w:cs="Verdana"/>
          <w:bCs/>
          <w:sz w:val="16"/>
          <w:szCs w:val="16"/>
        </w:rPr>
        <w:t>. Sentencia de 3 de septiembre de 2012. Serie C No. 249, párr. 203.</w:t>
      </w:r>
    </w:p>
    <w:p w14:paraId="5E86B679" w14:textId="77777777" w:rsidR="0046241E" w:rsidRPr="002F649F" w:rsidRDefault="0046241E" w:rsidP="002F649F">
      <w:pPr>
        <w:pStyle w:val="FootnoteText"/>
        <w:jc w:val="both"/>
        <w:rPr>
          <w:rFonts w:ascii="Verdana" w:hAnsi="Verdana"/>
          <w:sz w:val="16"/>
          <w:szCs w:val="16"/>
        </w:rPr>
      </w:pPr>
    </w:p>
  </w:footnote>
  <w:footnote w:id="41">
    <w:p w14:paraId="1A8FB2E5" w14:textId="6FB68C06" w:rsidR="0046241E"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cs="Verdana"/>
          <w:bCs/>
          <w:sz w:val="16"/>
          <w:szCs w:val="16"/>
        </w:rPr>
        <w:t xml:space="preserve">Corte IDH. </w:t>
      </w:r>
      <w:r w:rsidRPr="002F649F">
        <w:rPr>
          <w:rFonts w:ascii="Verdana" w:hAnsi="Verdana" w:cs="Verdana"/>
          <w:bCs/>
          <w:i/>
          <w:sz w:val="16"/>
          <w:szCs w:val="16"/>
        </w:rPr>
        <w:t>Caso Comunidad Campesina de Santa Bárbara Vs. Perú. Excepciones Preliminares, Fondo, Reparaciones y Costas.</w:t>
      </w:r>
      <w:r w:rsidRPr="002F649F">
        <w:rPr>
          <w:rFonts w:ascii="Verdana" w:hAnsi="Verdana" w:cs="Verdana"/>
          <w:bCs/>
          <w:sz w:val="16"/>
          <w:szCs w:val="16"/>
        </w:rPr>
        <w:t xml:space="preserve"> Sentencia de 01 de septiembre de 2015. Serie C No. 299, </w:t>
      </w:r>
      <w:r w:rsidRPr="002F649F">
        <w:rPr>
          <w:rFonts w:ascii="Verdana" w:hAnsi="Verdana"/>
          <w:sz w:val="16"/>
          <w:szCs w:val="16"/>
        </w:rPr>
        <w:t xml:space="preserve">párr. 204.  </w:t>
      </w:r>
    </w:p>
    <w:p w14:paraId="711329E7" w14:textId="77777777" w:rsidR="0046241E" w:rsidRPr="002F649F" w:rsidRDefault="0046241E" w:rsidP="002F649F">
      <w:pPr>
        <w:pStyle w:val="FootnoteText"/>
        <w:jc w:val="both"/>
        <w:rPr>
          <w:rFonts w:ascii="Verdana" w:hAnsi="Verdana"/>
          <w:sz w:val="16"/>
          <w:szCs w:val="16"/>
        </w:rPr>
      </w:pPr>
    </w:p>
  </w:footnote>
  <w:footnote w:id="42">
    <w:p w14:paraId="399333CE" w14:textId="21596D13" w:rsidR="0046241E" w:rsidRDefault="0046241E" w:rsidP="002F649F">
      <w:pPr>
        <w:pStyle w:val="FootnoteText"/>
        <w:jc w:val="both"/>
        <w:rPr>
          <w:rFonts w:ascii="Verdana" w:hAnsi="Verdana"/>
          <w:sz w:val="16"/>
          <w:szCs w:val="16"/>
          <w:lang w:val="es-ES_tradnl"/>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lang w:val="es-ES_tradnl"/>
        </w:rPr>
        <w:tab/>
      </w:r>
      <w:r w:rsidRPr="008D7E1E">
        <w:rPr>
          <w:rFonts w:ascii="Verdana" w:hAnsi="Verdana"/>
          <w:i/>
          <w:sz w:val="16"/>
          <w:szCs w:val="16"/>
          <w:lang w:val="es-ES_tradnl"/>
        </w:rPr>
        <w:t>Cfr.</w:t>
      </w:r>
      <w:r>
        <w:rPr>
          <w:rFonts w:ascii="Verdana" w:hAnsi="Verdana"/>
          <w:sz w:val="16"/>
          <w:szCs w:val="16"/>
          <w:lang w:val="es-ES_tradnl"/>
        </w:rPr>
        <w:t xml:space="preserve"> </w:t>
      </w:r>
      <w:r w:rsidRPr="002F649F">
        <w:rPr>
          <w:rFonts w:ascii="Verdana" w:hAnsi="Verdana" w:cs="Verdana"/>
          <w:bCs/>
          <w:sz w:val="16"/>
          <w:szCs w:val="16"/>
        </w:rPr>
        <w:t xml:space="preserve">Corte IDH. </w:t>
      </w:r>
      <w:r w:rsidRPr="002F649F">
        <w:rPr>
          <w:rFonts w:ascii="Verdana" w:hAnsi="Verdana" w:cs="Verdana"/>
          <w:bCs/>
          <w:i/>
          <w:sz w:val="16"/>
          <w:szCs w:val="16"/>
        </w:rPr>
        <w:t xml:space="preserve">Caso </w:t>
      </w:r>
      <w:proofErr w:type="spellStart"/>
      <w:r w:rsidRPr="002F649F">
        <w:rPr>
          <w:rFonts w:ascii="Verdana" w:hAnsi="Verdana" w:cs="Verdana"/>
          <w:bCs/>
          <w:i/>
          <w:sz w:val="16"/>
          <w:szCs w:val="16"/>
        </w:rPr>
        <w:t>Uzcátegui</w:t>
      </w:r>
      <w:proofErr w:type="spellEnd"/>
      <w:r w:rsidRPr="002F649F">
        <w:rPr>
          <w:rFonts w:ascii="Verdana" w:hAnsi="Verdana" w:cs="Verdana"/>
          <w:bCs/>
          <w:i/>
          <w:sz w:val="16"/>
          <w:szCs w:val="16"/>
        </w:rPr>
        <w:t xml:space="preserve"> y otros Vs. Venezuela. Fondo y Reparaciones</w:t>
      </w:r>
      <w:r w:rsidRPr="002F649F">
        <w:rPr>
          <w:rFonts w:ascii="Verdana" w:hAnsi="Verdana" w:cs="Verdana"/>
          <w:bCs/>
          <w:sz w:val="16"/>
          <w:szCs w:val="16"/>
        </w:rPr>
        <w:t xml:space="preserve">. Sentencia de 3 de septiembre de 2012. Serie C No. 249, párr. </w:t>
      </w:r>
      <w:r w:rsidRPr="002F649F">
        <w:rPr>
          <w:rFonts w:ascii="Verdana" w:hAnsi="Verdana"/>
          <w:sz w:val="16"/>
          <w:szCs w:val="16"/>
          <w:lang w:val="es-ES_tradnl"/>
        </w:rPr>
        <w:t xml:space="preserve">205. </w:t>
      </w:r>
    </w:p>
    <w:p w14:paraId="073B7CFB" w14:textId="77777777" w:rsidR="0046241E" w:rsidRPr="002F649F" w:rsidRDefault="0046241E" w:rsidP="002F649F">
      <w:pPr>
        <w:pStyle w:val="FootnoteText"/>
        <w:jc w:val="both"/>
        <w:rPr>
          <w:rFonts w:ascii="Verdana" w:hAnsi="Verdana"/>
          <w:sz w:val="16"/>
          <w:szCs w:val="16"/>
          <w:lang w:val="es-ES_tradnl"/>
        </w:rPr>
      </w:pPr>
    </w:p>
  </w:footnote>
  <w:footnote w:id="43">
    <w:p w14:paraId="64732E73" w14:textId="019556AD" w:rsidR="0046241E" w:rsidRPr="002F649F" w:rsidRDefault="0046241E" w:rsidP="002F649F">
      <w:pPr>
        <w:pStyle w:val="FootnoteText"/>
        <w:jc w:val="both"/>
        <w:rPr>
          <w:rFonts w:ascii="Verdana" w:eastAsia="Calibri" w:hAnsi="Verdana" w:cs="Verdana"/>
          <w:bCs/>
          <w:sz w:val="16"/>
          <w:szCs w:val="16"/>
          <w:lang w:val="es-ES_tradnl"/>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t xml:space="preserve">Corte IDH. </w:t>
      </w:r>
      <w:r w:rsidRPr="002F649F">
        <w:rPr>
          <w:rFonts w:ascii="Verdana" w:eastAsia="Calibri" w:hAnsi="Verdana" w:cs="Verdana"/>
          <w:bCs/>
          <w:i/>
          <w:sz w:val="16"/>
          <w:szCs w:val="16"/>
          <w:lang w:val="es-ES_tradnl"/>
        </w:rPr>
        <w:t>Caso Masacres de El Mozote y lugares aledaños Vs. El Salvador. Fondo, Reparaciones y Costas.</w:t>
      </w:r>
      <w:r w:rsidRPr="002F649F">
        <w:rPr>
          <w:rFonts w:ascii="Verdana" w:eastAsia="Calibri" w:hAnsi="Verdana" w:cs="Verdana"/>
          <w:bCs/>
          <w:sz w:val="16"/>
          <w:szCs w:val="16"/>
          <w:lang w:val="es-ES_tradnl"/>
        </w:rPr>
        <w:t xml:space="preserve"> Sentencia de 25 de octubre de 2012. Serie C No. 252, párr. 202. </w:t>
      </w:r>
    </w:p>
  </w:footnote>
  <w:footnote w:id="44">
    <w:p w14:paraId="0FF2580E" w14:textId="5F28BC78" w:rsidR="0046241E" w:rsidRDefault="0046241E" w:rsidP="002F649F">
      <w:pPr>
        <w:pStyle w:val="FootnoteText"/>
        <w:jc w:val="both"/>
        <w:rPr>
          <w:rFonts w:ascii="Verdana" w:eastAsia="Calibri" w:hAnsi="Verdana" w:cs="Verdana"/>
          <w:bCs/>
          <w:sz w:val="16"/>
          <w:szCs w:val="16"/>
          <w:lang w:val="es-ES_tradnl"/>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t xml:space="preserve">Corte IDH. </w:t>
      </w:r>
      <w:r w:rsidRPr="002F649F">
        <w:rPr>
          <w:rFonts w:ascii="Verdana" w:eastAsia="Calibri" w:hAnsi="Verdana" w:cs="Verdana"/>
          <w:bCs/>
          <w:i/>
          <w:sz w:val="16"/>
          <w:szCs w:val="16"/>
          <w:lang w:val="es-ES_tradnl"/>
        </w:rPr>
        <w:t xml:space="preserve">Caso de las Masacres de </w:t>
      </w:r>
      <w:proofErr w:type="spellStart"/>
      <w:r w:rsidRPr="002F649F">
        <w:rPr>
          <w:rFonts w:ascii="Verdana" w:eastAsia="Calibri" w:hAnsi="Verdana" w:cs="Verdana"/>
          <w:bCs/>
          <w:i/>
          <w:sz w:val="16"/>
          <w:szCs w:val="16"/>
          <w:lang w:val="es-ES_tradnl"/>
        </w:rPr>
        <w:t>Ituango</w:t>
      </w:r>
      <w:proofErr w:type="spellEnd"/>
      <w:r w:rsidRPr="002F649F">
        <w:rPr>
          <w:rFonts w:ascii="Verdana" w:eastAsia="Calibri" w:hAnsi="Verdana" w:cs="Verdana"/>
          <w:bCs/>
          <w:i/>
          <w:sz w:val="16"/>
          <w:szCs w:val="16"/>
          <w:lang w:val="es-ES_tradnl"/>
        </w:rPr>
        <w:t xml:space="preserve"> Vs. Colombia</w:t>
      </w:r>
      <w:r w:rsidRPr="002F649F">
        <w:rPr>
          <w:rFonts w:ascii="Verdana" w:eastAsia="Calibri" w:hAnsi="Verdana" w:cs="Verdana"/>
          <w:bCs/>
          <w:sz w:val="16"/>
          <w:szCs w:val="16"/>
          <w:lang w:val="es-ES_tradnl"/>
        </w:rPr>
        <w:t xml:space="preserve">. Sentencia de 1 de julio de 2006. Serie C No. 148, párr. 182 y 183 y </w:t>
      </w:r>
      <w:r w:rsidRPr="002F649F">
        <w:rPr>
          <w:rFonts w:ascii="Verdana" w:eastAsia="Calibri" w:hAnsi="Verdana" w:cs="Verdana"/>
          <w:bCs/>
          <w:i/>
          <w:sz w:val="16"/>
          <w:szCs w:val="16"/>
          <w:lang w:val="es-ES_tradnl"/>
        </w:rPr>
        <w:t>Caso de las comunidades afrodescendientes desplazadas de la Cuenca del Río Cacarica (Operación Génesis) Vs. Colombia. Excepciones Preliminares, Fondo, Reparaciones y Costas.</w:t>
      </w:r>
      <w:r w:rsidRPr="002F649F">
        <w:rPr>
          <w:rFonts w:ascii="Verdana" w:eastAsia="Calibri" w:hAnsi="Verdana" w:cs="Verdana"/>
          <w:bCs/>
          <w:sz w:val="16"/>
          <w:szCs w:val="16"/>
          <w:lang w:val="es-ES_tradnl"/>
        </w:rPr>
        <w:t xml:space="preserve"> Sentencia de 20 de noviembre de 2013. Serie C No. 270, párr. 352.</w:t>
      </w:r>
    </w:p>
    <w:p w14:paraId="38D327F4" w14:textId="77777777" w:rsidR="0046241E" w:rsidRPr="002F649F" w:rsidRDefault="0046241E" w:rsidP="002F649F">
      <w:pPr>
        <w:pStyle w:val="FootnoteText"/>
        <w:jc w:val="both"/>
        <w:rPr>
          <w:rFonts w:ascii="Verdana" w:eastAsia="Calibri" w:hAnsi="Verdana" w:cs="Verdana"/>
          <w:bCs/>
          <w:sz w:val="16"/>
          <w:szCs w:val="16"/>
          <w:lang w:val="es-ES_tradnl"/>
        </w:rPr>
      </w:pPr>
    </w:p>
  </w:footnote>
  <w:footnote w:id="45">
    <w:p w14:paraId="33FF0F57" w14:textId="77777777" w:rsidR="0046241E" w:rsidRDefault="0046241E" w:rsidP="002F649F">
      <w:pPr>
        <w:pStyle w:val="FootnoteText"/>
        <w:jc w:val="both"/>
        <w:rPr>
          <w:rFonts w:ascii="Verdana" w:eastAsiaTheme="minorHAnsi" w:hAnsi="Verdana" w:cs="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Proclamada por la Asamblea General de las Naciones Unidas en París, el 10 de diciembre de </w:t>
      </w:r>
      <w:proofErr w:type="gramStart"/>
      <w:r w:rsidRPr="002F649F">
        <w:rPr>
          <w:rFonts w:ascii="Verdana" w:hAnsi="Verdana"/>
          <w:sz w:val="16"/>
          <w:szCs w:val="16"/>
        </w:rPr>
        <w:t>1948</w:t>
      </w:r>
      <w:r w:rsidRPr="002F649F">
        <w:rPr>
          <w:rFonts w:ascii="Verdana" w:eastAsiaTheme="minorHAnsi" w:hAnsi="Verdana" w:cs="Verdana"/>
          <w:sz w:val="16"/>
          <w:szCs w:val="16"/>
        </w:rPr>
        <w:t xml:space="preserve"> .</w:t>
      </w:r>
      <w:proofErr w:type="gramEnd"/>
      <w:r w:rsidRPr="002F649F">
        <w:rPr>
          <w:rFonts w:ascii="Verdana" w:eastAsiaTheme="minorHAnsi" w:hAnsi="Verdana" w:cs="Verdana"/>
          <w:sz w:val="16"/>
          <w:szCs w:val="16"/>
        </w:rPr>
        <w:t xml:space="preserve"> El texto citado dice: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y otros casos de pérdida de sus medios de subsistencia por circunstancias independientes de su voluntad”.</w:t>
      </w:r>
    </w:p>
    <w:p w14:paraId="1036589E" w14:textId="77777777" w:rsidR="0046241E" w:rsidRPr="002F649F" w:rsidRDefault="0046241E" w:rsidP="002F649F">
      <w:pPr>
        <w:pStyle w:val="FootnoteText"/>
        <w:jc w:val="both"/>
        <w:rPr>
          <w:rFonts w:ascii="Verdana" w:hAnsi="Verdana"/>
          <w:sz w:val="16"/>
          <w:szCs w:val="16"/>
        </w:rPr>
      </w:pPr>
    </w:p>
  </w:footnote>
  <w:footnote w:id="46">
    <w:p w14:paraId="1D64E6E6" w14:textId="77777777" w:rsidR="0046241E" w:rsidRDefault="0046241E" w:rsidP="002F649F">
      <w:pPr>
        <w:widowControl w:val="0"/>
        <w:autoSpaceDE w:val="0"/>
        <w:autoSpaceDN w:val="0"/>
        <w:adjustRightInd w:val="0"/>
        <w:jc w:val="both"/>
        <w:rPr>
          <w:rFonts w:ascii="Verdana" w:eastAsiaTheme="minorHAnsi" w:hAnsi="Verdana" w:cs="Verdana"/>
          <w:bCs/>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Adoptado el 16 de diciembre de 1966. Entró en vigor el 3 de enero de 1976. La norma referida reza:</w:t>
      </w:r>
      <w:r w:rsidRPr="002F649F">
        <w:rPr>
          <w:rFonts w:ascii="Verdana" w:eastAsiaTheme="minorHAnsi" w:hAnsi="Verdana" w:cs="Verdana"/>
          <w:bCs/>
          <w:sz w:val="16"/>
          <w:szCs w:val="16"/>
        </w:rPr>
        <w:t xml:space="preserve"> “</w:t>
      </w:r>
      <w:r w:rsidRPr="002F649F">
        <w:rPr>
          <w:rFonts w:ascii="Verdana" w:eastAsiaTheme="minorHAnsi" w:hAnsi="Verdana" w:cs="Verdana"/>
          <w:sz w:val="16"/>
          <w:szCs w:val="16"/>
        </w:rPr>
        <w:t>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r w:rsidRPr="002F649F">
        <w:rPr>
          <w:rFonts w:ascii="Verdana" w:eastAsiaTheme="minorHAnsi" w:hAnsi="Verdana" w:cs="Verdana"/>
          <w:bCs/>
          <w:sz w:val="16"/>
          <w:szCs w:val="16"/>
        </w:rPr>
        <w:t xml:space="preserve"> </w:t>
      </w:r>
    </w:p>
    <w:p w14:paraId="052F746D" w14:textId="77777777" w:rsidR="0046241E" w:rsidRPr="002F649F" w:rsidRDefault="0046241E" w:rsidP="002F649F">
      <w:pPr>
        <w:widowControl w:val="0"/>
        <w:autoSpaceDE w:val="0"/>
        <w:autoSpaceDN w:val="0"/>
        <w:adjustRightInd w:val="0"/>
        <w:jc w:val="both"/>
        <w:rPr>
          <w:rFonts w:ascii="Verdana" w:eastAsiaTheme="minorHAnsi" w:hAnsi="Verdana" w:cs="Verdana"/>
          <w:sz w:val="16"/>
          <w:szCs w:val="16"/>
        </w:rPr>
      </w:pPr>
    </w:p>
  </w:footnote>
  <w:footnote w:id="47">
    <w:p w14:paraId="4992F89A" w14:textId="51A681EB" w:rsidR="0046241E" w:rsidRDefault="0046241E" w:rsidP="002F649F">
      <w:pPr>
        <w:widowControl w:val="0"/>
        <w:autoSpaceDE w:val="0"/>
        <w:autoSpaceDN w:val="0"/>
        <w:adjustRightInd w:val="0"/>
        <w:jc w:val="both"/>
        <w:rPr>
          <w:rFonts w:ascii="Verdana" w:eastAsiaTheme="minorHAnsi" w:hAnsi="Verdana" w:cs="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Adoptada el 21 de diciembre de 1965. Entró en vigor el  4 de enero de 1969. El artículo señalado dice:</w:t>
      </w:r>
      <w:r w:rsidRPr="002F649F">
        <w:rPr>
          <w:rFonts w:ascii="Verdana" w:eastAsiaTheme="minorHAnsi" w:hAnsi="Verdana" w:cs="Verdana"/>
          <w:bCs/>
          <w:sz w:val="16"/>
          <w:szCs w:val="16"/>
        </w:rPr>
        <w:t xml:space="preserve"> “</w:t>
      </w:r>
      <w:r w:rsidRPr="002F649F">
        <w:rPr>
          <w:rFonts w:ascii="Verdana" w:eastAsiaTheme="minorHAnsi" w:hAnsi="Verdana" w:cs="Verdana"/>
          <w:sz w:val="16"/>
          <w:szCs w:val="16"/>
        </w:rPr>
        <w:t>En conformidad con las obligaciones fundamentales estipuladas en el artículo 2 de la presente Convención, los Estados partes se comprometen a prohibir y eliminar la discriminación racial en todas sus formas y a garantizar el derecho de toda persona a la igualdad ante la ley, sin distinción de raza, color y origen nacional o étnico, particularmente en el goce de los derechos siguientes: … (e</w:t>
      </w:r>
      <w:proofErr w:type="gramStart"/>
      <w:r w:rsidRPr="002F649F">
        <w:rPr>
          <w:rFonts w:ascii="Verdana" w:eastAsiaTheme="minorHAnsi" w:hAnsi="Verdana" w:cs="Verdana"/>
          <w:sz w:val="16"/>
          <w:szCs w:val="16"/>
        </w:rPr>
        <w:t>) …</w:t>
      </w:r>
      <w:proofErr w:type="gramEnd"/>
      <w:r w:rsidRPr="002F649F">
        <w:rPr>
          <w:rFonts w:ascii="Verdana" w:eastAsiaTheme="minorHAnsi" w:hAnsi="Verdana" w:cs="Verdana"/>
          <w:sz w:val="16"/>
          <w:szCs w:val="16"/>
        </w:rPr>
        <w:t xml:space="preserve"> (iii) El derecho a la vivienda”.</w:t>
      </w:r>
    </w:p>
    <w:p w14:paraId="089229A1" w14:textId="77777777" w:rsidR="0046241E" w:rsidRPr="002F649F" w:rsidRDefault="0046241E" w:rsidP="002F649F">
      <w:pPr>
        <w:widowControl w:val="0"/>
        <w:autoSpaceDE w:val="0"/>
        <w:autoSpaceDN w:val="0"/>
        <w:adjustRightInd w:val="0"/>
        <w:jc w:val="both"/>
        <w:rPr>
          <w:rFonts w:ascii="Verdana" w:eastAsiaTheme="minorHAnsi" w:hAnsi="Verdana" w:cs="Verdana"/>
          <w:sz w:val="16"/>
          <w:szCs w:val="16"/>
        </w:rPr>
      </w:pPr>
    </w:p>
  </w:footnote>
  <w:footnote w:id="48">
    <w:p w14:paraId="1ACB9738" w14:textId="00214DAD" w:rsidR="0046241E" w:rsidRDefault="0046241E" w:rsidP="002F649F">
      <w:pPr>
        <w:widowControl w:val="0"/>
        <w:autoSpaceDE w:val="0"/>
        <w:autoSpaceDN w:val="0"/>
        <w:adjustRightInd w:val="0"/>
        <w:jc w:val="both"/>
        <w:rPr>
          <w:rFonts w:ascii="Verdana" w:eastAsiaTheme="minorHAnsi" w:hAnsi="Verdana" w:cs="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Aprobada en 1979. Entró en vigor en 1981.</w:t>
      </w:r>
      <w:r w:rsidRPr="002F649F">
        <w:rPr>
          <w:rFonts w:ascii="Verdana" w:eastAsiaTheme="minorHAnsi" w:hAnsi="Verdana" w:cs="Verdana"/>
          <w:sz w:val="16"/>
          <w:szCs w:val="16"/>
        </w:rPr>
        <w:t xml:space="preserve"> La norma indicada dice: “Los Estados Partes adoptarán todas las medidas apropiadas para eliminar la discriminación contra la mujer en las zonas rurales a fin de asegurar en condiciones de igualdad entre hombres y mujeres, su participación en el desarrollo rural y en sus beneficios, y en particular le asegurarán el derecho a: (…) (h) Gozar de condiciones de vida adecuadas, particularmente en las esferas de la vivienda, los servicios sanitarios, la electricidad y el abastecimiento de agua, el transporte y las comunicaciones.”</w:t>
      </w:r>
    </w:p>
    <w:p w14:paraId="6A53C985" w14:textId="77777777" w:rsidR="0046241E" w:rsidRPr="002F649F" w:rsidRDefault="0046241E" w:rsidP="002F649F">
      <w:pPr>
        <w:widowControl w:val="0"/>
        <w:autoSpaceDE w:val="0"/>
        <w:autoSpaceDN w:val="0"/>
        <w:adjustRightInd w:val="0"/>
        <w:jc w:val="both"/>
        <w:rPr>
          <w:rFonts w:ascii="Verdana" w:eastAsiaTheme="minorHAnsi" w:hAnsi="Verdana" w:cs="Verdana"/>
          <w:sz w:val="16"/>
          <w:szCs w:val="16"/>
        </w:rPr>
      </w:pPr>
    </w:p>
  </w:footnote>
  <w:footnote w:id="49">
    <w:p w14:paraId="0F74FDD6" w14:textId="376B25CE" w:rsidR="0046241E" w:rsidRDefault="0046241E" w:rsidP="002F649F">
      <w:pPr>
        <w:widowControl w:val="0"/>
        <w:autoSpaceDE w:val="0"/>
        <w:autoSpaceDN w:val="0"/>
        <w:adjustRightInd w:val="0"/>
        <w:jc w:val="both"/>
        <w:rPr>
          <w:rFonts w:ascii="Verdana" w:eastAsiaTheme="minorHAnsi" w:hAnsi="Verdana" w:cs="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Adoptada el 20 de noviembre de 1989. Entró en vigor el 2 de septiembre de 1990. El texto aludido expresa: “</w:t>
      </w:r>
      <w:r w:rsidRPr="002F649F">
        <w:rPr>
          <w:rFonts w:ascii="Verdana" w:eastAsiaTheme="minorHAnsi" w:hAnsi="Verdana" w:cs="Verdana"/>
          <w:sz w:val="16"/>
          <w:szCs w:val="16"/>
        </w:rPr>
        <w:t>1. Los Estados Partes reconocen el derecho de todo niño a un nivel de vida adecuado para su desarrollo físico, mental, espiritual, moral y social. […] 3. Los Estados Partes, de acuerdo con las condiciones nacionales y con arreglo a sus medios, adoptarán medidas apropiadas para ayudar a los padres y a otras personas responsables por el niño a dar efectividad a este derecho y, en caso necesario, proporcionarán asistencia material y programas de apoyo, particularmente con respecto a la nutrición, el vestuario y la vivienda”.</w:t>
      </w:r>
    </w:p>
    <w:p w14:paraId="2B66F0D3" w14:textId="77777777" w:rsidR="0046241E" w:rsidRPr="002F649F" w:rsidRDefault="0046241E" w:rsidP="002F649F">
      <w:pPr>
        <w:widowControl w:val="0"/>
        <w:autoSpaceDE w:val="0"/>
        <w:autoSpaceDN w:val="0"/>
        <w:adjustRightInd w:val="0"/>
        <w:jc w:val="both"/>
        <w:rPr>
          <w:rFonts w:ascii="Verdana" w:eastAsiaTheme="minorHAnsi" w:hAnsi="Verdana" w:cs="Verdana"/>
          <w:sz w:val="16"/>
          <w:szCs w:val="16"/>
        </w:rPr>
      </w:pPr>
    </w:p>
  </w:footnote>
  <w:footnote w:id="50">
    <w:p w14:paraId="61121782" w14:textId="405A32CE" w:rsidR="0046241E" w:rsidRDefault="0046241E" w:rsidP="002F649F">
      <w:pPr>
        <w:widowControl w:val="0"/>
        <w:autoSpaceDE w:val="0"/>
        <w:autoSpaceDN w:val="0"/>
        <w:adjustRightInd w:val="0"/>
        <w:jc w:val="both"/>
        <w:rPr>
          <w:rFonts w:ascii="Verdana" w:eastAsiaTheme="minorHAnsi" w:hAnsi="Verdana" w:cs="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eastAsiaTheme="minorHAnsi" w:hAnsi="Verdana" w:cs="Verdana"/>
          <w:sz w:val="16"/>
          <w:szCs w:val="16"/>
        </w:rPr>
        <w:t>“A 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(…).Estas medidas, que incluirán la identificación y eliminación de obstáculos y barreras de acceso, se aplicarán, entre otras cosas, a: a) Los edificios, las vías públicas, el transporte y otras instalaciones exteriores e interiores como escuelas, viviendas, instalaciones médicas y lugares de trabajo”.</w:t>
      </w:r>
    </w:p>
    <w:p w14:paraId="27318BA5" w14:textId="77777777" w:rsidR="0046241E" w:rsidRPr="002F649F" w:rsidRDefault="0046241E" w:rsidP="002F649F">
      <w:pPr>
        <w:widowControl w:val="0"/>
        <w:autoSpaceDE w:val="0"/>
        <w:autoSpaceDN w:val="0"/>
        <w:adjustRightInd w:val="0"/>
        <w:jc w:val="both"/>
        <w:rPr>
          <w:rFonts w:ascii="Verdana" w:eastAsiaTheme="minorHAnsi" w:hAnsi="Verdana" w:cs="Verdana"/>
          <w:sz w:val="16"/>
          <w:szCs w:val="16"/>
        </w:rPr>
      </w:pPr>
    </w:p>
  </w:footnote>
  <w:footnote w:id="51">
    <w:p w14:paraId="7E6764A9" w14:textId="22F3DAE5" w:rsidR="0046241E" w:rsidRDefault="0046241E" w:rsidP="002F649F">
      <w:pPr>
        <w:widowControl w:val="0"/>
        <w:autoSpaceDE w:val="0"/>
        <w:autoSpaceDN w:val="0"/>
        <w:adjustRightInd w:val="0"/>
        <w:jc w:val="both"/>
        <w:rPr>
          <w:rFonts w:ascii="Verdana" w:eastAsiaTheme="minorHAnsi" w:hAnsi="Verdana" w:cs="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eastAsiaTheme="minorHAnsi" w:hAnsi="Verdana" w:cs="Verdana"/>
          <w:sz w:val="16"/>
          <w:szCs w:val="16"/>
        </w:rPr>
        <w:t>“Los Estados Partes reconocen el derecho de las personas con discapacidad a un nivel de vida adecuado para ellas y sus familias, lo cual incluye alimentación, vestido y vivienda adecuados, y a la mejora continua de sus condiciones de vida, y adoptarán las medidas pertinentes para salvaguardar y promover el ejercicio de este derecho sin discriminación por motivos de discapacidad.”</w:t>
      </w:r>
    </w:p>
    <w:p w14:paraId="32C70D3D" w14:textId="77777777" w:rsidR="0046241E" w:rsidRPr="002F649F" w:rsidRDefault="0046241E" w:rsidP="002F649F">
      <w:pPr>
        <w:widowControl w:val="0"/>
        <w:autoSpaceDE w:val="0"/>
        <w:autoSpaceDN w:val="0"/>
        <w:adjustRightInd w:val="0"/>
        <w:jc w:val="both"/>
        <w:rPr>
          <w:rFonts w:ascii="Verdana" w:eastAsiaTheme="minorHAnsi" w:hAnsi="Verdana" w:cs="Verdana"/>
          <w:sz w:val="16"/>
          <w:szCs w:val="16"/>
        </w:rPr>
      </w:pPr>
    </w:p>
  </w:footnote>
  <w:footnote w:id="52">
    <w:p w14:paraId="5A773254" w14:textId="4390BEC8" w:rsidR="0046241E" w:rsidRDefault="0046241E" w:rsidP="002F649F">
      <w:pPr>
        <w:widowControl w:val="0"/>
        <w:autoSpaceDE w:val="0"/>
        <w:autoSpaceDN w:val="0"/>
        <w:adjustRightInd w:val="0"/>
        <w:jc w:val="both"/>
        <w:rPr>
          <w:rFonts w:ascii="Verdana" w:eastAsiaTheme="minorHAnsi" w:hAnsi="Verdana" w:cs="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eastAsiaTheme="minorHAnsi" w:hAnsi="Verdana" w:cs="Verdana"/>
          <w:sz w:val="16"/>
          <w:szCs w:val="16"/>
        </w:rPr>
        <w:t>“Los Estados Partes reconocen el derecho de las personas con discapacidad a la protección social y a gozar de ese derecho sin discriminación por motivos de discapacidad, y adoptarán las medidas pertinentes para proteger y promover el ejercicio de ese derecho, entre ellas:</w:t>
      </w:r>
      <w:proofErr w:type="gramStart"/>
      <w:r w:rsidRPr="002F649F">
        <w:rPr>
          <w:rFonts w:ascii="Verdana" w:eastAsiaTheme="minorHAnsi" w:hAnsi="Verdana" w:cs="Verdana"/>
          <w:sz w:val="16"/>
          <w:szCs w:val="16"/>
        </w:rPr>
        <w:t>  (</w:t>
      </w:r>
      <w:proofErr w:type="gramEnd"/>
      <w:r w:rsidRPr="002F649F">
        <w:rPr>
          <w:rFonts w:ascii="Verdana" w:eastAsiaTheme="minorHAnsi" w:hAnsi="Verdana" w:cs="Verdana"/>
          <w:sz w:val="16"/>
          <w:szCs w:val="16"/>
        </w:rPr>
        <w:t>…)  d) Asegurar el acceso de las personas con discapacidad a programas de vivienda pública”.</w:t>
      </w:r>
    </w:p>
    <w:p w14:paraId="74A0543A" w14:textId="77777777" w:rsidR="0046241E" w:rsidRPr="002F649F" w:rsidRDefault="0046241E" w:rsidP="002F649F">
      <w:pPr>
        <w:widowControl w:val="0"/>
        <w:autoSpaceDE w:val="0"/>
        <w:autoSpaceDN w:val="0"/>
        <w:adjustRightInd w:val="0"/>
        <w:jc w:val="both"/>
        <w:rPr>
          <w:rFonts w:ascii="Verdana" w:eastAsiaTheme="minorHAnsi" w:hAnsi="Verdana" w:cs="Verdana"/>
          <w:sz w:val="16"/>
          <w:szCs w:val="16"/>
        </w:rPr>
      </w:pPr>
    </w:p>
  </w:footnote>
  <w:footnote w:id="53">
    <w:p w14:paraId="29D29EC7" w14:textId="77777777" w:rsidR="0046241E" w:rsidRPr="002F649F" w:rsidRDefault="0046241E" w:rsidP="002F649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Abierta a la firma el 30 de marzo de 2007. Entró en vigor el 3 de mayo de 2008.</w:t>
      </w:r>
    </w:p>
  </w:footnote>
  <w:footnote w:id="54">
    <w:p w14:paraId="3FEADAAC" w14:textId="77777777" w:rsidR="0046241E" w:rsidRDefault="0046241E" w:rsidP="002F649F">
      <w:pPr>
        <w:pStyle w:val="FootnoteText"/>
        <w:jc w:val="both"/>
        <w:rPr>
          <w:rFonts w:ascii="Verdana" w:hAnsi="Verdana"/>
          <w:sz w:val="16"/>
          <w:szCs w:val="16"/>
        </w:rPr>
      </w:pPr>
    </w:p>
    <w:p w14:paraId="034454E0" w14:textId="743A09F7"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Adoptada el 28 de julio de 1951. Entró en vigor</w:t>
      </w:r>
      <w:r>
        <w:rPr>
          <w:rFonts w:ascii="Verdana" w:hAnsi="Verdana"/>
          <w:sz w:val="16"/>
          <w:szCs w:val="16"/>
        </w:rPr>
        <w:t xml:space="preserve"> </w:t>
      </w:r>
      <w:r w:rsidRPr="002F649F">
        <w:rPr>
          <w:rFonts w:ascii="Verdana" w:hAnsi="Verdana"/>
          <w:sz w:val="16"/>
          <w:szCs w:val="16"/>
        </w:rPr>
        <w:t>el 22 de abril de 1954. El</w:t>
      </w:r>
      <w:r w:rsidRPr="002F649F">
        <w:rPr>
          <w:rFonts w:ascii="Verdana" w:eastAsiaTheme="minorHAnsi" w:hAnsi="Verdana" w:cs="Verdana"/>
          <w:bCs/>
          <w:sz w:val="16"/>
          <w:szCs w:val="16"/>
        </w:rPr>
        <w:t xml:space="preserve"> Artículo 21 dice:</w:t>
      </w:r>
      <w:r w:rsidRPr="002F649F">
        <w:rPr>
          <w:rFonts w:ascii="Verdana" w:eastAsiaTheme="minorHAnsi" w:hAnsi="Verdana" w:cs="Verdana"/>
          <w:sz w:val="16"/>
          <w:szCs w:val="16"/>
        </w:rPr>
        <w:t xml:space="preserve"> “En materia de vivienda y en la medida en que esté regida por leyes y reglamentos o sujeta a la fiscalización de las autoridades oficiales, los Estados Contratantes concederán a los refugiados que se encuentren legalmente en sus territorios el trato más favorable posible y en ningún caso menos favorable que el concedido generalmente en las mismas circunstancias a los extranjeros”</w:t>
      </w:r>
    </w:p>
  </w:footnote>
  <w:footnote w:id="55">
    <w:p w14:paraId="2FD3E116" w14:textId="77777777" w:rsidR="0046241E" w:rsidRDefault="0046241E" w:rsidP="002F649F">
      <w:pPr>
        <w:pStyle w:val="FootnoteText"/>
        <w:jc w:val="both"/>
        <w:rPr>
          <w:rFonts w:ascii="Verdana" w:hAnsi="Verdana"/>
          <w:sz w:val="16"/>
          <w:szCs w:val="16"/>
        </w:rPr>
      </w:pPr>
    </w:p>
    <w:p w14:paraId="095092C4" w14:textId="77777777"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Adoptada el 18 de diciembre de 1990. Entró en vigor el 1 de julio de 2003. </w:t>
      </w:r>
      <w:r w:rsidRPr="002F649F">
        <w:rPr>
          <w:rFonts w:ascii="Verdana" w:eastAsiaTheme="minorHAnsi" w:hAnsi="Verdana" w:cs="Verdana"/>
          <w:bCs/>
          <w:sz w:val="16"/>
          <w:szCs w:val="16"/>
        </w:rPr>
        <w:t>Artículo 43.1</w:t>
      </w:r>
      <w:r w:rsidRPr="002F649F">
        <w:rPr>
          <w:rFonts w:ascii="Verdana" w:eastAsiaTheme="minorHAnsi" w:hAnsi="Verdana" w:cs="Verdana"/>
          <w:sz w:val="16"/>
          <w:szCs w:val="16"/>
        </w:rPr>
        <w:t>: “Los trabajadores migratorios gozarán de igualdad de trato respecto de los nacionales del Estado de empleo en relación con: […] (d) El acceso a la vivienda, con inclusión de los planes sociales de vivienda, y la protección contra la explotación en materia de alquileres”.</w:t>
      </w:r>
    </w:p>
  </w:footnote>
  <w:footnote w:id="56">
    <w:p w14:paraId="6E6ED258" w14:textId="77777777" w:rsidR="0046241E" w:rsidRDefault="0046241E" w:rsidP="002F649F">
      <w:pPr>
        <w:jc w:val="both"/>
        <w:rPr>
          <w:rFonts w:ascii="Verdana" w:hAnsi="Verdana"/>
          <w:sz w:val="16"/>
          <w:szCs w:val="16"/>
        </w:rPr>
      </w:pPr>
    </w:p>
    <w:p w14:paraId="7552AC69" w14:textId="6CE1EAC2" w:rsidR="0046241E" w:rsidRPr="002F649F" w:rsidRDefault="0046241E" w:rsidP="002F649F">
      <w:pPr>
        <w:jc w:val="both"/>
        <w:rPr>
          <w:rFonts w:ascii="Verdana" w:eastAsiaTheme="minorHAnsi" w:hAnsi="Verdana" w:cs="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Por ello, no solo debe tenerse en cuenta la expresa mención a la vivienda en normas como el artículo 20 del </w:t>
      </w:r>
      <w:r w:rsidRPr="002F649F">
        <w:rPr>
          <w:rFonts w:ascii="Verdana" w:eastAsiaTheme="minorHAnsi" w:hAnsi="Verdana"/>
          <w:bCs/>
          <w:sz w:val="16"/>
          <w:szCs w:val="16"/>
          <w:lang w:eastAsia="es-ES_tradnl"/>
        </w:rPr>
        <w:t xml:space="preserve">Convenio 169 de la Organización Internacional del Trabajo sobre Pueblos Indígenas y Tribales (adoptado el 27 de junio de 1989, entró en vigor el 5 de septiembre de 1991), o los artículos 21.1 o 23 de la Declaración sobre los Derechos de los Pueblos Indígenas (Aprobada en 2007) sino también los artículos 7, 13, 14, 15, 16, 17, 18 y 19 del Convenio aludido y los artículos </w:t>
      </w:r>
      <w:r w:rsidRPr="002F649F">
        <w:rPr>
          <w:rFonts w:ascii="Verdana" w:eastAsiaTheme="minorHAnsi" w:hAnsi="Verdana" w:cs="Verdana"/>
          <w:sz w:val="16"/>
          <w:szCs w:val="16"/>
        </w:rPr>
        <w:t xml:space="preserve">10, </w:t>
      </w:r>
      <w:r w:rsidRPr="002F649F">
        <w:rPr>
          <w:rFonts w:ascii="Verdana" w:eastAsiaTheme="minorHAnsi" w:hAnsi="Verdana" w:cs="Verdana"/>
          <w:bCs/>
          <w:sz w:val="16"/>
          <w:szCs w:val="16"/>
        </w:rPr>
        <w:t>26, 27, 28 y 32 de la Declaración indicada.</w:t>
      </w:r>
      <w:r w:rsidRPr="002F649F">
        <w:rPr>
          <w:rFonts w:ascii="Verdana" w:eastAsiaTheme="minorHAnsi" w:hAnsi="Verdana"/>
          <w:bCs/>
          <w:sz w:val="16"/>
          <w:szCs w:val="16"/>
          <w:lang w:eastAsia="es-ES_tradnl"/>
        </w:rPr>
        <w:t xml:space="preserve"> En cuanto a los referidos artículos 20 de dicho Convenio y 21.1 y 23 de esa Declaración, sus textos dicen: artículo 20: “</w:t>
      </w:r>
      <w:r w:rsidRPr="002F649F">
        <w:rPr>
          <w:rFonts w:ascii="Verdana" w:eastAsiaTheme="minorHAnsi" w:hAnsi="Verdana"/>
          <w:sz w:val="16"/>
          <w:szCs w:val="16"/>
          <w:lang w:eastAsia="es-ES_tradnl"/>
        </w:rPr>
        <w:t xml:space="preserve">1. Los gobiernos deberán adoptar, en el marco de su legislación nacional y en cooperación con los pueblos interesados, medidas especiales para garantizar a los trabajadores pertenecientes a esos pueblos una protección eficaz en materia de contratación y condiciones de empleo, en la medida en que no estén protegidos eficazmente por la legislación aplicable a los trabajadores en general. 2. Los gobiernos deberán hacer cuanto esté en su poder por evitar cualquier discriminación entre los trabajadores pertenecientes a los pueblos interesados y los demás trabajadores, especialmente en lo relativo a: a) acceso al empleo, incluidos los empleos calificados y las medidas de promoción y de ascenso; b) remuneración igual por trabajo de igual valor;  c) asistencia médica y social, seguridad e higiene en el trabajo, todas las prestaciones de seguridad social y demás prestaciones derivadas del empleo, así como la vivienda […]”;  artículo 21.1.: </w:t>
      </w:r>
      <w:r w:rsidRPr="002F649F">
        <w:rPr>
          <w:rFonts w:ascii="Verdana" w:eastAsiaTheme="minorHAnsi" w:hAnsi="Verdana" w:cs="Verdana"/>
          <w:sz w:val="16"/>
          <w:szCs w:val="16"/>
        </w:rPr>
        <w:t>“Los pueblos indígenas tienen derecho, sin discriminación, al mejoramiento de sus condiciones económicas y sociales, entre otras esferas, en la educación, el empleo, la capacitación y el readiestramiento profesionales, la vivienda, el saneamiento, la salud y la seguridad social”, y  a</w:t>
      </w:r>
      <w:r w:rsidRPr="002F649F">
        <w:rPr>
          <w:rFonts w:ascii="Verdana" w:eastAsiaTheme="minorHAnsi" w:hAnsi="Verdana" w:cs="Verdana"/>
          <w:bCs/>
          <w:sz w:val="16"/>
          <w:szCs w:val="16"/>
        </w:rPr>
        <w:t>rtículo 23:</w:t>
      </w:r>
      <w:r w:rsidRPr="002F649F">
        <w:rPr>
          <w:rFonts w:ascii="Verdana" w:eastAsiaTheme="minorHAnsi" w:hAnsi="Verdana" w:cs="Verdana"/>
          <w:sz w:val="16"/>
          <w:szCs w:val="16"/>
        </w:rPr>
        <w:t xml:space="preserve"> “Los pueblos indígenas tienen derecho a determinar y a elaborar prioridades y estrategias para el ejercicio de su derecho al desarrollo. En particular, los pueblos indígenas tienen derecho a participar activamente en la elaboración y determinación de los programas de salud, vivienda y demás programas económicos y sociales que les conciernan y, en lo posible, a administrar esos programas mediante sus propias instituciones). </w:t>
      </w:r>
    </w:p>
  </w:footnote>
  <w:footnote w:id="57">
    <w:p w14:paraId="2C887381" w14:textId="77777777" w:rsidR="0046241E" w:rsidRDefault="0046241E" w:rsidP="002F649F">
      <w:pPr>
        <w:widowControl w:val="0"/>
        <w:autoSpaceDE w:val="0"/>
        <w:autoSpaceDN w:val="0"/>
        <w:adjustRightInd w:val="0"/>
        <w:jc w:val="both"/>
        <w:rPr>
          <w:rFonts w:ascii="Verdana" w:hAnsi="Verdana"/>
          <w:sz w:val="16"/>
          <w:szCs w:val="16"/>
        </w:rPr>
      </w:pPr>
    </w:p>
    <w:p w14:paraId="0BF0D8C2" w14:textId="3C3500EE" w:rsidR="0046241E" w:rsidRPr="002F649F" w:rsidRDefault="0046241E" w:rsidP="002F649F">
      <w:pPr>
        <w:widowControl w:val="0"/>
        <w:autoSpaceDE w:val="0"/>
        <w:autoSpaceDN w:val="0"/>
        <w:adjustRightInd w:val="0"/>
        <w:jc w:val="both"/>
        <w:rPr>
          <w:rFonts w:ascii="Verdana" w:eastAsiaTheme="minorHAnsi" w:hAnsi="Verdana" w:cs="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eastAsiaTheme="minorHAnsi" w:hAnsi="Verdana" w:cs="Verdana"/>
          <w:sz w:val="16"/>
          <w:szCs w:val="16"/>
        </w:rPr>
        <w:t>Entre ellos, pueden citarse los siguientes: Convenio No. 161 Relativo a los Servicios de Salud en el Trabajo (adoptado el 25 de junio de 1985, entró en vigor el 17 de febrero de 1988): ar</w:t>
      </w:r>
      <w:r w:rsidRPr="002F649F">
        <w:rPr>
          <w:rFonts w:ascii="Verdana" w:eastAsiaTheme="minorHAnsi" w:hAnsi="Verdana" w:cs="Verdana"/>
          <w:bCs/>
          <w:sz w:val="16"/>
          <w:szCs w:val="16"/>
        </w:rPr>
        <w:t>tículo 5</w:t>
      </w:r>
      <w:r w:rsidRPr="002F649F">
        <w:rPr>
          <w:rFonts w:ascii="Verdana" w:eastAsiaTheme="minorHAnsi" w:hAnsi="Verdana" w:cs="Verdana"/>
          <w:sz w:val="16"/>
          <w:szCs w:val="16"/>
        </w:rPr>
        <w:t xml:space="preserve">: “Sin perjuicio de la responsabilidad de cada empleador respecto de la salud y la seguridad de los trabajadores a quienes emplea y habida cuenta de la necesidad de que los trabajadores participen en materia de salud y seguridad en el trabajo, los servicios de salud en el trabajo deberán asegurar las funciones siguientes que sean adecuadas y apropiadas a los riesgos de la empresa para la salud en el trabajo: (…) (b) vigilancia de los factores del medio ambiente de trabajo y de las prácticas de trabajo que puedan afectar a la salud de los trabajadores, incluidos las instalaciones sanitarias, comedores y alojamientos, cuando estas facilidades sean proporcionadas por el empleador”; Convenio No. 117 sobre Normas y Objetivos Básicos de la Política Social (adoptado el 22 de junio de 1962, entró en vigor el 23 de abril de 1964): </w:t>
      </w:r>
      <w:r w:rsidRPr="002F649F">
        <w:rPr>
          <w:rFonts w:ascii="Verdana" w:eastAsiaTheme="minorHAnsi" w:hAnsi="Verdana" w:cs="Verdana"/>
          <w:bCs/>
          <w:sz w:val="16"/>
          <w:szCs w:val="16"/>
        </w:rPr>
        <w:t>Artículo 2</w:t>
      </w:r>
      <w:r w:rsidRPr="002F649F">
        <w:rPr>
          <w:rFonts w:ascii="Verdana" w:eastAsiaTheme="minorHAnsi" w:hAnsi="Verdana" w:cs="Verdana"/>
          <w:sz w:val="16"/>
          <w:szCs w:val="16"/>
        </w:rPr>
        <w:t xml:space="preserve">: “El mejoramiento del nivel de vida deberá ser considerado como el objetivo principal de los planes de desarrollo económico”, </w:t>
      </w:r>
      <w:r w:rsidRPr="002F649F">
        <w:rPr>
          <w:rFonts w:ascii="Verdana" w:eastAsiaTheme="minorHAnsi" w:hAnsi="Verdana" w:cs="Verdana"/>
          <w:bCs/>
          <w:sz w:val="16"/>
          <w:szCs w:val="16"/>
        </w:rPr>
        <w:t>Artículo 5.2</w:t>
      </w:r>
      <w:r w:rsidRPr="002F649F">
        <w:rPr>
          <w:rFonts w:ascii="Verdana" w:eastAsiaTheme="minorHAnsi" w:hAnsi="Verdana" w:cs="Verdana"/>
          <w:sz w:val="16"/>
          <w:szCs w:val="16"/>
        </w:rPr>
        <w:t xml:space="preserve">: “Al fijar el nivel mínimo de vida, deberán tomarse en cuenta necesidades familiares de los trabajadores, de carácter esencial, tales como los alimentos y su valor nutritivo, la vivienda, el vestido, la asistencia médica y la educación”, y Convenio No. 110 Relativo a las Condiciones de Empleo de los Trabajadores de las Plantaciones (adoptado el 24 de junio 1958, entró en vigor el 22 de enero de 1960): </w:t>
      </w:r>
      <w:r w:rsidRPr="002F649F">
        <w:rPr>
          <w:rFonts w:ascii="Verdana" w:eastAsiaTheme="minorHAnsi" w:hAnsi="Verdana" w:cs="Verdana"/>
          <w:bCs/>
          <w:sz w:val="16"/>
          <w:szCs w:val="16"/>
        </w:rPr>
        <w:t>Artículo 88.1</w:t>
      </w:r>
      <w:r w:rsidRPr="002F649F">
        <w:rPr>
          <w:rFonts w:ascii="Verdana" w:eastAsiaTheme="minorHAnsi" w:hAnsi="Verdana" w:cs="Verdana"/>
          <w:sz w:val="16"/>
          <w:szCs w:val="16"/>
        </w:rPr>
        <w:t>: “Cuando el alojamiento sea proporcionado por el empleador, las condiciones que hayan de regir el inquilinato de los trabajadores de las plantaciones no serán menos favorables que las previstas en la legislación y la práctica nacionales”.</w:t>
      </w:r>
    </w:p>
  </w:footnote>
  <w:footnote w:id="58">
    <w:p w14:paraId="09C3E752" w14:textId="77777777" w:rsidR="0046241E" w:rsidRDefault="0046241E" w:rsidP="002F649F">
      <w:pPr>
        <w:widowControl w:val="0"/>
        <w:autoSpaceDE w:val="0"/>
        <w:autoSpaceDN w:val="0"/>
        <w:adjustRightInd w:val="0"/>
        <w:jc w:val="both"/>
        <w:rPr>
          <w:rFonts w:ascii="Verdana" w:hAnsi="Verdana"/>
          <w:sz w:val="16"/>
          <w:szCs w:val="16"/>
        </w:rPr>
      </w:pPr>
    </w:p>
    <w:p w14:paraId="059A9AE4" w14:textId="5F5BEA17" w:rsidR="0046241E" w:rsidRPr="002F649F" w:rsidRDefault="0046241E" w:rsidP="002F649F">
      <w:pPr>
        <w:widowControl w:val="0"/>
        <w:autoSpaceDE w:val="0"/>
        <w:autoSpaceDN w:val="0"/>
        <w:adjustRightInd w:val="0"/>
        <w:jc w:val="both"/>
        <w:rPr>
          <w:rFonts w:ascii="Verdana" w:eastAsiaTheme="minorHAnsi" w:hAnsi="Verdana" w:cs="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eastAsiaTheme="minorHAnsi" w:hAnsi="Verdana" w:cs="Verdana"/>
          <w:bCs/>
          <w:sz w:val="16"/>
          <w:szCs w:val="16"/>
        </w:rPr>
        <w:t>Convenio de Ginebra relativo a la Protección Debida a las Personas Civiles en Tiempo de Guerra (aprobado el 12 de agosto de 1949, entró en vigor el 21 de octubre de 1950): Artículo 49</w:t>
      </w:r>
      <w:r w:rsidRPr="002F649F">
        <w:rPr>
          <w:rFonts w:ascii="Verdana" w:eastAsiaTheme="minorHAnsi" w:hAnsi="Verdana" w:cs="Verdana"/>
          <w:sz w:val="16"/>
          <w:szCs w:val="16"/>
        </w:rPr>
        <w:t xml:space="preserve">: “Los traslados en masa o individuales, de índole forzosa, así como las deportaciones de personas protegidas del territorio ocupado al territorio de la Potencia ocupante o al de cualquier otro país, ocupado o no, están prohibidos, sea cual fuere el motivo. Sin embargo, la Potencia ocupante podrá efectuar la evacuación total o parcial de una determinada región ocupada, si así lo requieren la seguridad de la población o imperiosas razones militares. […]” </w:t>
      </w:r>
      <w:r w:rsidRPr="002F649F">
        <w:rPr>
          <w:rFonts w:ascii="Verdana" w:eastAsiaTheme="minorHAnsi" w:hAnsi="Verdana" w:cs="Verdana"/>
          <w:bCs/>
          <w:sz w:val="16"/>
          <w:szCs w:val="16"/>
        </w:rPr>
        <w:t>Artículo 53</w:t>
      </w:r>
      <w:r w:rsidRPr="002F649F">
        <w:rPr>
          <w:rFonts w:ascii="Verdana" w:eastAsiaTheme="minorHAnsi" w:hAnsi="Verdana" w:cs="Verdana"/>
          <w:sz w:val="16"/>
          <w:szCs w:val="16"/>
        </w:rPr>
        <w:t xml:space="preserve">: “Está prohibido que la Potencia ocupante destruya bienes muebles o inmuebles, pertenecientes individual o colectivamente a personas particulares, al Estado o a colectividades públicas, a organizaciones sociales o a cooperativas, excepto en los casos en que tales destrucciones sean absolutamente necesarias a causa de las operaciones bélicas”. </w:t>
      </w:r>
      <w:r w:rsidRPr="002F649F">
        <w:rPr>
          <w:rFonts w:ascii="Verdana" w:eastAsiaTheme="minorHAnsi" w:hAnsi="Verdana" w:cs="Verdana"/>
          <w:bCs/>
          <w:sz w:val="16"/>
          <w:szCs w:val="16"/>
        </w:rPr>
        <w:t>Artículo 85</w:t>
      </w:r>
      <w:r w:rsidRPr="002F649F">
        <w:rPr>
          <w:rFonts w:ascii="Verdana" w:eastAsiaTheme="minorHAnsi" w:hAnsi="Verdana" w:cs="Verdana"/>
          <w:sz w:val="16"/>
          <w:szCs w:val="16"/>
        </w:rPr>
        <w:t xml:space="preserve">: “La Potencia detenedora tiene el deber de tomar todas las medidas necesarias y posibles para que las personas protegidas sean alojadas, desde el comienzo del internamiento, en edificios o acantonamientos con todas las garantías de higiene y de salubridad y que protejan eficazmente contra los rigores del clima y los efectos de la guerra. En ningún caso, estarán los lugares de internamiento permanente en regiones malsanas o donde el clima sea pernicioso para los internados. En </w:t>
      </w:r>
      <w:proofErr w:type="spellStart"/>
      <w:r w:rsidRPr="002F649F">
        <w:rPr>
          <w:rFonts w:ascii="Verdana" w:eastAsiaTheme="minorHAnsi" w:hAnsi="Verdana" w:cs="Verdana"/>
          <w:sz w:val="16"/>
          <w:szCs w:val="16"/>
        </w:rPr>
        <w:t>cuantos</w:t>
      </w:r>
      <w:proofErr w:type="spellEnd"/>
      <w:r w:rsidRPr="002F649F">
        <w:rPr>
          <w:rFonts w:ascii="Verdana" w:eastAsiaTheme="minorHAnsi" w:hAnsi="Verdana" w:cs="Verdana"/>
          <w:sz w:val="16"/>
          <w:szCs w:val="16"/>
        </w:rPr>
        <w:t xml:space="preserve"> casos estén internadas temporalmente en una región insalubre o donde el clima sea pernicioso para la salud, las personas protegidas serán trasladadas, tan rápidamente como las circunstancias lo permitan, a un lugar de internamiento donde no sean de temer tales riesgos. Los locales deberán estar totalmente protegidos contra la humedad, suficientemente alumbrados y calientes, especialmente entre el anochecer y la extinción de las luces. Los dormitorios habrán de ser suficientemente espaciosos y estar bien aireados; los internados dispondrán de apropiado equipo de cama y de suficiente número de mantas, habida cuenta de su edad, su sexo y su estado de salud, así como de las condiciones climáticas del lugar. Los internados dispondrán, día y noche, de instalaciones sanitarias que se avengan con las normas de la higiene y que estén en constante estado de limpieza. Se les proporcionará suficiente agua y jabón para el aseo diario y para lavar la ropa; a este respecto, dispondrán de las instalaciones y de las facilidades necesarias. Tendrán, además, instalaciones de duchas o de baños. Se les dará el tiempo necesario para el aseo personal y para los trabajos de limpieza. Cuando sea necesario alojar, como medida excepcional, provisionalmente a mujeres internadas no pertenecientes a un grupo familiar en el mismo lugar de internamiento que a los hombres, habrá, obligatoriamente, dormitorios e instalaciones sanitarias aparte”. </w:t>
      </w:r>
      <w:r w:rsidRPr="002F649F">
        <w:rPr>
          <w:rFonts w:ascii="Verdana" w:eastAsiaTheme="minorHAnsi" w:hAnsi="Verdana" w:cs="Verdana"/>
          <w:bCs/>
          <w:sz w:val="16"/>
          <w:szCs w:val="16"/>
        </w:rPr>
        <w:t>Artículo 134</w:t>
      </w:r>
      <w:r w:rsidRPr="002F649F">
        <w:rPr>
          <w:rFonts w:ascii="Verdana" w:eastAsiaTheme="minorHAnsi" w:hAnsi="Verdana" w:cs="Verdana"/>
          <w:sz w:val="16"/>
          <w:szCs w:val="16"/>
        </w:rPr>
        <w:t>: “Al término de las hostilidades o de la ocupación, las Altas Partes Contratantes harán lo posible por garantizar a todos los internados el regreso al lugar de su residencia anterior, o por facilitar su repatriación”.</w:t>
      </w:r>
    </w:p>
  </w:footnote>
  <w:footnote w:id="59">
    <w:p w14:paraId="3B8DE4E5" w14:textId="77777777" w:rsidR="0046241E" w:rsidRDefault="0046241E" w:rsidP="002F649F">
      <w:pPr>
        <w:pStyle w:val="FootnoteText"/>
        <w:jc w:val="both"/>
        <w:rPr>
          <w:rFonts w:ascii="Verdana" w:hAnsi="Verdana"/>
          <w:sz w:val="16"/>
          <w:szCs w:val="16"/>
        </w:rPr>
      </w:pPr>
    </w:p>
    <w:p w14:paraId="6224DB1E" w14:textId="4417274A"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Adoptada el 7 de junio de 1999. Entró en vigor el 14 de septiembre de 2001. El artículo indicado dice: “Para lograr los objetivos de esta Convención, los Estados parte se comprometen a: 1.Adoptar las medidas de carácter legislativo, social, educativo, laboral o de cualquier otra índole, necesarias para eliminar la discriminación contra las personas con discapacidad y propiciar su plena integración en la sociedad, incluidas las que se enumeran a continuación, sin que la lista sea taxativa: a.</w:t>
      </w:r>
      <w:r>
        <w:rPr>
          <w:rFonts w:ascii="Verdana" w:hAnsi="Verdana"/>
          <w:sz w:val="16"/>
          <w:szCs w:val="16"/>
        </w:rPr>
        <w:t xml:space="preserve"> </w:t>
      </w:r>
      <w:r w:rsidRPr="002F649F">
        <w:rPr>
          <w:rFonts w:ascii="Verdana" w:hAnsi="Verdana"/>
          <w:sz w:val="16"/>
          <w:szCs w:val="16"/>
        </w:rPr>
        <w:t xml:space="preserve">Medidas para eliminar progresivamente la discriminación y promover la integración por parte de las autoridades gubernamentales y/o entidades privadas en la prestación o suministro de bienes, servicios, instalaciones, programas y actividades, tales como el empleo, el transporte, las comunicaciones, la vivienda, la recreación, la educación, el deporte, el acceso a la justicia y los servicios policiales, y las actividades políticas y de administración […]”. </w:t>
      </w:r>
    </w:p>
  </w:footnote>
  <w:footnote w:id="60">
    <w:p w14:paraId="4D92F032" w14:textId="77777777" w:rsidR="0046241E" w:rsidRDefault="0046241E" w:rsidP="002F649F">
      <w:pPr>
        <w:pStyle w:val="FootnoteText"/>
        <w:jc w:val="both"/>
        <w:rPr>
          <w:rFonts w:ascii="Verdana" w:hAnsi="Verdana"/>
          <w:sz w:val="16"/>
          <w:szCs w:val="16"/>
        </w:rPr>
      </w:pPr>
    </w:p>
    <w:p w14:paraId="2CFFB104" w14:textId="17EB1969" w:rsidR="0046241E" w:rsidRDefault="0046241E" w:rsidP="002F649F">
      <w:pPr>
        <w:pStyle w:val="FootnoteText"/>
        <w:jc w:val="both"/>
        <w:rPr>
          <w:rFonts w:ascii="Verdana" w:eastAsiaTheme="minorHAnsi" w:hAnsi="Verdana" w:cs="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Aprobada el 14 de junio de 2016. </w:t>
      </w:r>
      <w:r w:rsidRPr="002F649F">
        <w:rPr>
          <w:rFonts w:ascii="Verdana" w:eastAsiaTheme="minorHAnsi" w:hAnsi="Verdana" w:cs="Verdana"/>
          <w:sz w:val="16"/>
          <w:szCs w:val="16"/>
        </w:rPr>
        <w:t xml:space="preserve">Como se ha </w:t>
      </w:r>
      <w:r w:rsidRPr="008F62B8">
        <w:rPr>
          <w:rFonts w:ascii="Verdana" w:eastAsiaTheme="minorHAnsi" w:hAnsi="Verdana" w:cs="Verdana"/>
          <w:sz w:val="16"/>
          <w:szCs w:val="16"/>
        </w:rPr>
        <w:t>indicado (</w:t>
      </w:r>
      <w:r w:rsidRPr="008F62B8">
        <w:rPr>
          <w:rFonts w:ascii="Verdana" w:eastAsiaTheme="minorHAnsi" w:hAnsi="Verdana" w:cs="Verdana"/>
          <w:i/>
          <w:sz w:val="16"/>
          <w:szCs w:val="16"/>
        </w:rPr>
        <w:t>supra</w:t>
      </w:r>
      <w:r>
        <w:rPr>
          <w:rFonts w:ascii="Verdana" w:eastAsiaTheme="minorHAnsi" w:hAnsi="Verdana" w:cs="Verdana"/>
          <w:sz w:val="16"/>
          <w:szCs w:val="16"/>
        </w:rPr>
        <w:t xml:space="preserve"> párr. 4</w:t>
      </w:r>
      <w:r w:rsidRPr="008F62B8">
        <w:rPr>
          <w:rFonts w:ascii="Verdana" w:eastAsiaTheme="minorHAnsi" w:hAnsi="Verdana" w:cs="Verdana"/>
          <w:sz w:val="16"/>
          <w:szCs w:val="16"/>
        </w:rPr>
        <w:t>2),</w:t>
      </w:r>
      <w:r w:rsidRPr="002F649F">
        <w:rPr>
          <w:rFonts w:ascii="Verdana" w:eastAsiaTheme="minorHAnsi" w:hAnsi="Verdana" w:cs="Verdana"/>
          <w:sz w:val="16"/>
          <w:szCs w:val="16"/>
        </w:rPr>
        <w:t xml:space="preserve"> en relación con pueblos indígenas u originarios debe considerarse relacionada con la cuestión de la vivienda los derechos que hacen a la protección de sus tierras o territorios. Por eso, debería tenerse en consideración los artículos VI, XXV, XXVI, XXIX y XXX de la Declaración aludida.</w:t>
      </w:r>
    </w:p>
    <w:p w14:paraId="03E6B0BE" w14:textId="77777777" w:rsidR="0046241E" w:rsidRPr="002F649F" w:rsidRDefault="0046241E" w:rsidP="002F649F">
      <w:pPr>
        <w:pStyle w:val="FootnoteText"/>
        <w:jc w:val="both"/>
        <w:rPr>
          <w:rFonts w:ascii="Verdana" w:eastAsiaTheme="minorHAnsi" w:hAnsi="Verdana" w:cs="Verdana"/>
          <w:sz w:val="16"/>
          <w:szCs w:val="16"/>
        </w:rPr>
      </w:pPr>
    </w:p>
  </w:footnote>
  <w:footnote w:id="61">
    <w:p w14:paraId="6836A8B0" w14:textId="02E71757" w:rsidR="0046241E" w:rsidRPr="002F649F" w:rsidRDefault="0046241E" w:rsidP="002F649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sz w:val="16"/>
          <w:szCs w:val="16"/>
          <w:lang w:val="es-CR"/>
        </w:rPr>
        <w:t xml:space="preserve">Adoptada el 15 de junio de 2015, en Washington, D.C. Sobre su entrada en vigor, véase </w:t>
      </w:r>
      <w:r w:rsidRPr="002F649F">
        <w:rPr>
          <w:rFonts w:ascii="Verdana" w:hAnsi="Verdana"/>
          <w:i/>
          <w:sz w:val="16"/>
          <w:szCs w:val="16"/>
          <w:lang w:val="es-CR"/>
        </w:rPr>
        <w:t>supra</w:t>
      </w:r>
      <w:r w:rsidRPr="002F649F">
        <w:rPr>
          <w:rFonts w:ascii="Verdana" w:hAnsi="Verdana"/>
          <w:sz w:val="16"/>
          <w:szCs w:val="16"/>
          <w:lang w:val="es-CR"/>
        </w:rPr>
        <w:t xml:space="preserve"> nota 35. </w:t>
      </w:r>
    </w:p>
  </w:footnote>
  <w:footnote w:id="62">
    <w:p w14:paraId="19158130" w14:textId="77777777" w:rsidR="0046241E" w:rsidRDefault="0046241E" w:rsidP="002F649F">
      <w:pPr>
        <w:pStyle w:val="FootnoteText"/>
        <w:jc w:val="both"/>
        <w:rPr>
          <w:rFonts w:ascii="Verdana" w:hAnsi="Verdana"/>
          <w:sz w:val="16"/>
          <w:szCs w:val="16"/>
        </w:rPr>
      </w:pPr>
    </w:p>
    <w:p w14:paraId="53199B33" w14:textId="71703C9A" w:rsidR="0046241E" w:rsidRDefault="0046241E" w:rsidP="002F649F">
      <w:pPr>
        <w:pStyle w:val="FootnoteText"/>
        <w:jc w:val="both"/>
        <w:rPr>
          <w:rFonts w:ascii="Verdana" w:hAnsi="Verdana"/>
          <w:sz w:val="16"/>
          <w:szCs w:val="16"/>
          <w:lang w:val="es-ES_tradnl"/>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El texto dice: “La persona mayor tiene derecho a una vivienda digna y adecuada, y a vivir en entornos seguros, saludables, accesibles y adaptables a sus preferencias y necesidades. Los Estados Parte deberán adoptar las medidas pertinentes para promover el pleno goce de este derecho y facilitar que la persona mayor tenga acceso a servicios socio-sanitarios integrados y servicios de cuidados domiciliarios que le permitan residir en su propio domicilio conforme a su voluntad.  Los Estados Parte deberán garantizar el derecho de la persona mayor a una vivienda digna y adecuada y adoptarán políticas de promoción del derecho a la vivienda y el acceso a la tierra reconociendo las necesidades de la persona mayor y la prioridad en la asignación a aquella que se encuentre en situación de vulnerabilidad. Asimismo, los Estados Parte fomentarán progresivamente el acceso al crédito de vivienda u otras formas de financiamiento sin discriminación, promoviendo, entre otros, la colaboración con el sector privado, la sociedad civil y otros actores sociales. </w:t>
      </w:r>
      <w:r w:rsidRPr="008F62B8">
        <w:rPr>
          <w:rFonts w:ascii="Verdana" w:hAnsi="Verdana"/>
          <w:sz w:val="16"/>
          <w:szCs w:val="16"/>
          <w:lang w:val="es-ES_tradnl"/>
        </w:rPr>
        <w:t xml:space="preserve">Las políticas deberán tener especialmente en cuenta: a)  La necesidad de construir o adaptar progresivamente soluciones habitacionales con el fin de que estas sean arquitectónicamente adecuadas y accesibles a los adultos mayores con discapacidad y con impedimentos relacionados con su movilidad. b)  Las necesidades específicas de la persona mayor, particularmente aquellas que viven solas, a </w:t>
      </w:r>
      <w:proofErr w:type="spellStart"/>
      <w:r w:rsidRPr="008F62B8">
        <w:rPr>
          <w:rFonts w:ascii="Verdana" w:hAnsi="Verdana"/>
          <w:sz w:val="16"/>
          <w:szCs w:val="16"/>
          <w:lang w:val="es-ES_tradnl"/>
        </w:rPr>
        <w:t>través</w:t>
      </w:r>
      <w:proofErr w:type="spellEnd"/>
      <w:r w:rsidRPr="008F62B8">
        <w:rPr>
          <w:rFonts w:ascii="Verdana" w:hAnsi="Verdana"/>
          <w:sz w:val="16"/>
          <w:szCs w:val="16"/>
          <w:lang w:val="es-ES_tradnl"/>
        </w:rPr>
        <w:t xml:space="preserve"> de subsidios para el alquiler, apoyo a las renovaciones de la vivienda y otras medidas pertinentes, según la capacidad de los Estados Parte. Los Estados Parte promoverán el establecimiento de procedimientos expeditos de reclamación y justicia en caso de desalojos de personas mayores y adoptarán las medidas necesarias para protegerlas contra los desalojos forzosos ilegales. Los Estados Parte deberán promover programas para la prevención de accidentes en el entorno y el hogar de la persona mayor”.  </w:t>
      </w:r>
    </w:p>
    <w:p w14:paraId="68C197D6" w14:textId="77777777" w:rsidR="0046241E" w:rsidRPr="008F62B8" w:rsidRDefault="0046241E" w:rsidP="002F649F">
      <w:pPr>
        <w:pStyle w:val="FootnoteText"/>
        <w:jc w:val="both"/>
        <w:rPr>
          <w:rFonts w:ascii="Verdana" w:hAnsi="Verdana"/>
          <w:sz w:val="16"/>
          <w:szCs w:val="16"/>
          <w:lang w:val="es-ES_tradnl"/>
        </w:rPr>
      </w:pPr>
    </w:p>
  </w:footnote>
  <w:footnote w:id="63">
    <w:p w14:paraId="4B5C77B2" w14:textId="1F1EB8C6" w:rsidR="0046241E" w:rsidRPr="008F62B8" w:rsidRDefault="0046241E" w:rsidP="002F649F">
      <w:pPr>
        <w:jc w:val="both"/>
        <w:rPr>
          <w:rFonts w:ascii="Verdana" w:eastAsiaTheme="minorHAnsi" w:hAnsi="Verdana"/>
          <w:sz w:val="16"/>
          <w:szCs w:val="16"/>
          <w:lang w:eastAsia="es-ES_tradnl"/>
        </w:rPr>
      </w:pPr>
      <w:r w:rsidRPr="008F62B8">
        <w:rPr>
          <w:rStyle w:val="FootnoteReference"/>
          <w:rFonts w:ascii="Verdana" w:hAnsi="Verdana"/>
          <w:sz w:val="16"/>
          <w:szCs w:val="16"/>
        </w:rPr>
        <w:footnoteRef/>
      </w:r>
      <w:r w:rsidRPr="008F62B8">
        <w:rPr>
          <w:rFonts w:ascii="Verdana" w:hAnsi="Verdana"/>
          <w:sz w:val="16"/>
          <w:szCs w:val="16"/>
        </w:rPr>
        <w:t xml:space="preserve"> </w:t>
      </w:r>
      <w:r w:rsidRPr="008F62B8">
        <w:rPr>
          <w:rFonts w:ascii="Verdana" w:hAnsi="Verdana"/>
          <w:sz w:val="16"/>
          <w:szCs w:val="16"/>
        </w:rPr>
        <w:tab/>
      </w:r>
      <w:r w:rsidRPr="008F62B8">
        <w:rPr>
          <w:rFonts w:ascii="Verdana" w:eastAsiaTheme="minorHAnsi" w:hAnsi="Verdana"/>
          <w:bCs/>
          <w:sz w:val="16"/>
          <w:szCs w:val="16"/>
          <w:lang w:eastAsia="es-ES_tradnl"/>
        </w:rPr>
        <w:t>Son las siguientes: artículo 2, denominado “Definiciones”: “</w:t>
      </w:r>
      <w:r w:rsidRPr="008F62B8">
        <w:rPr>
          <w:rFonts w:ascii="Verdana" w:eastAsiaTheme="minorHAnsi" w:hAnsi="Verdana"/>
          <w:sz w:val="16"/>
          <w:szCs w:val="16"/>
          <w:lang w:eastAsia="es-ES_tradnl"/>
        </w:rPr>
        <w:t xml:space="preserve">A los efectos de la presente Convención se entiende por: […] ‘Unidad doméstica u hogar’: El grupo de personas que viven en una misma vivienda, comparten las comidas principales y atienden en común las necesidades básicas, sin que sea necesario que existan lazos de parentesco entre ellos. […]”; </w:t>
      </w:r>
      <w:r w:rsidRPr="008F62B8">
        <w:rPr>
          <w:rFonts w:ascii="Verdana" w:eastAsiaTheme="minorHAnsi" w:hAnsi="Verdana"/>
          <w:bCs/>
          <w:sz w:val="16"/>
          <w:szCs w:val="16"/>
          <w:lang w:eastAsia="es-ES_tradnl"/>
        </w:rPr>
        <w:t xml:space="preserve">artículo 12, titulado “Derechos de la persona mayor que recibe servicios de cuidado a largo plazo”: </w:t>
      </w:r>
      <w:r w:rsidRPr="008F62B8">
        <w:rPr>
          <w:rFonts w:ascii="Verdana" w:eastAsiaTheme="minorHAnsi" w:hAnsi="Verdana"/>
          <w:sz w:val="16"/>
          <w:szCs w:val="16"/>
          <w:lang w:eastAsia="es-ES_tradnl"/>
        </w:rPr>
        <w:t xml:space="preserve">“La persona mayor tiene derecho a un sistema integral de cuidados que provea la protección y promoción de la salud, cobertura de servicios sociales, seguridad alimentaria y nutricional, agua, vestuario y vivienda; promoviendo que la persona mayor pueda decidir permanecer en su hogar y mantener su independencia y autonomía. […]”, y el  </w:t>
      </w:r>
      <w:r w:rsidRPr="008F62B8">
        <w:rPr>
          <w:rFonts w:ascii="Verdana" w:eastAsiaTheme="minorHAnsi" w:hAnsi="Verdana"/>
          <w:bCs/>
          <w:sz w:val="16"/>
          <w:szCs w:val="16"/>
          <w:lang w:eastAsia="es-ES_tradnl"/>
        </w:rPr>
        <w:t>artículo 26 sobre “Derecho a la accesibilidad y a la movilidad personal”</w:t>
      </w:r>
      <w:proofErr w:type="gramStart"/>
      <w:r w:rsidRPr="008F62B8">
        <w:rPr>
          <w:rFonts w:ascii="Verdana" w:eastAsiaTheme="minorHAnsi" w:hAnsi="Verdana"/>
          <w:bCs/>
          <w:sz w:val="16"/>
          <w:szCs w:val="16"/>
          <w:lang w:eastAsia="es-ES_tradnl"/>
        </w:rPr>
        <w:t xml:space="preserve">:  </w:t>
      </w:r>
      <w:r w:rsidRPr="008F62B8">
        <w:rPr>
          <w:rFonts w:ascii="Verdana" w:eastAsiaTheme="minorHAnsi" w:hAnsi="Verdana"/>
          <w:sz w:val="16"/>
          <w:szCs w:val="16"/>
          <w:lang w:eastAsia="es-ES_tradnl"/>
        </w:rPr>
        <w:t>“</w:t>
      </w:r>
      <w:proofErr w:type="gramEnd"/>
      <w:r w:rsidRPr="008F62B8">
        <w:rPr>
          <w:rFonts w:ascii="Verdana" w:eastAsiaTheme="minorHAnsi" w:hAnsi="Verdana"/>
          <w:sz w:val="16"/>
          <w:szCs w:val="16"/>
          <w:lang w:eastAsia="es-ES_tradnl"/>
        </w:rPr>
        <w:t>La persona mayor tiene derecho a la accesibilidad al entorno físico, social, económico y cultural, y a su movilidad personal. A fin de garantizar la accesibilidad y la movilidad personal de la persona mayor para que pueda vivir en forma independiente y participar plenamente en todos los aspectos de la vida, los Estados Parte adoptarán de manera progresiva medidas pertinentes para asegurar el acceso de la persona mayor,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Estas medidas, que incluirán la identificación y eliminación de obstáculos y barreras de acceso, se aplicarán, entre otras cosas, a: a)  Los edificios, las vías públicas, el transporte y otras instalaciones exteriores e interiores como centros educativos, viviendas, instalaciones médicas y lugares de trabajo. […]”.</w:t>
      </w:r>
    </w:p>
  </w:footnote>
  <w:footnote w:id="64">
    <w:p w14:paraId="6909CBCD" w14:textId="77777777" w:rsidR="0046241E" w:rsidRPr="008F62B8" w:rsidRDefault="0046241E" w:rsidP="002F649F">
      <w:pPr>
        <w:pStyle w:val="NormalWeb"/>
        <w:spacing w:before="0" w:beforeAutospacing="0" w:after="0" w:afterAutospacing="0"/>
        <w:jc w:val="both"/>
        <w:rPr>
          <w:rFonts w:ascii="Verdana" w:hAnsi="Verdana"/>
          <w:sz w:val="16"/>
          <w:szCs w:val="16"/>
          <w:lang w:val="es-ES_tradnl"/>
        </w:rPr>
      </w:pPr>
    </w:p>
    <w:p w14:paraId="17FB51C9" w14:textId="016842A4" w:rsidR="0046241E" w:rsidRDefault="0046241E" w:rsidP="002F649F">
      <w:pPr>
        <w:pStyle w:val="NormalWeb"/>
        <w:spacing w:before="0" w:beforeAutospacing="0" w:after="0" w:afterAutospacing="0"/>
        <w:jc w:val="both"/>
        <w:rPr>
          <w:rFonts w:ascii="Verdana" w:eastAsiaTheme="minorHAnsi" w:hAnsi="Verdana"/>
          <w:sz w:val="16"/>
          <w:szCs w:val="16"/>
          <w:lang w:val="es-ES_tradnl" w:eastAsia="es-ES_tradnl"/>
        </w:rPr>
      </w:pPr>
      <w:r w:rsidRPr="008F62B8">
        <w:rPr>
          <w:rStyle w:val="FootnoteReference"/>
          <w:rFonts w:ascii="Verdana" w:eastAsia="Batang" w:hAnsi="Verdana"/>
          <w:sz w:val="16"/>
          <w:szCs w:val="16"/>
          <w:lang w:val="es-ES_tradnl"/>
        </w:rPr>
        <w:footnoteRef/>
      </w:r>
      <w:r w:rsidRPr="008F62B8">
        <w:rPr>
          <w:rFonts w:ascii="Verdana" w:hAnsi="Verdana"/>
          <w:sz w:val="16"/>
          <w:szCs w:val="16"/>
          <w:lang w:val="es-ES_tradnl"/>
        </w:rPr>
        <w:t xml:space="preserve"> </w:t>
      </w:r>
      <w:r w:rsidRPr="008F62B8">
        <w:rPr>
          <w:rFonts w:ascii="Verdana" w:hAnsi="Verdana"/>
          <w:sz w:val="16"/>
          <w:szCs w:val="16"/>
          <w:lang w:val="es-ES_tradnl"/>
        </w:rPr>
        <w:tab/>
      </w:r>
      <w:r w:rsidRPr="008F62B8">
        <w:rPr>
          <w:rFonts w:ascii="Verdana" w:eastAsiaTheme="minorHAnsi" w:hAnsi="Verdana" w:cs="Verdana"/>
          <w:sz w:val="16"/>
          <w:szCs w:val="16"/>
          <w:lang w:val="es-ES_tradnl" w:eastAsia="en-US"/>
        </w:rPr>
        <w:t>Convención Interamericana contra el Racismo, la Discriminación Racial y Formas Conexas de Intolerancia (adoptada el 5 de junio de 2013): artículo 7: “</w:t>
      </w:r>
      <w:r w:rsidRPr="008F62B8">
        <w:rPr>
          <w:rFonts w:ascii="Verdana" w:eastAsiaTheme="minorHAnsi" w:hAnsi="Verdana"/>
          <w:sz w:val="16"/>
          <w:szCs w:val="16"/>
          <w:lang w:val="es-ES_tradnl" w:eastAsia="es-ES_tradnl"/>
        </w:rPr>
        <w:t xml:space="preserve">Los Estados Partes se comprometen a adoptar la legislación que defina y prohíba claramente el racismo, la discriminación racial y formas conexas de intolerancia, aplicable a todas las  autoridades públicas, así́ como a todas las personas naturales o físicas y jurídicas, tanto en el sector público como en el privado, en especial en las áreas de empleo, participación en organizaciones profesionales, educación, capacitación, vivienda, salud, protección social, ejercicio de la actividad económica, acceso a los servicios públicos, entre otros; y a derogar o modificar toda legislación que constituya o dé lugar a racismo, discriminación racial y formas conexas de intolerancia”.  Convención Interamericana contra toda Forma de Discriminación e Intolerancia (adoptada el 5 de junio de 2013): Artículo 7: “Los Estados Partes se comprometen a adoptar la legislación que defina y prohíba claramente la discriminación y la intolerancia, aplicable a todas las autoridades públicas, así́ como a todas las personas naturales o físicas, y jurídicas, tanto en el sector público como privado, en especial en las áreas de empleo, participación en organizaciones profesionales, educación, capacitación, vivienda, salud, protección social, ejercicio de la actividad económica, acceso a los servicios públicos, entre otros; y a derogar o modificar toda legislación que constituya o dé lugar a discriminación e intolerancia”. </w:t>
      </w:r>
    </w:p>
    <w:p w14:paraId="183FF5B3" w14:textId="77777777" w:rsidR="0046241E" w:rsidRPr="008F62B8" w:rsidRDefault="0046241E" w:rsidP="002F649F">
      <w:pPr>
        <w:pStyle w:val="NormalWeb"/>
        <w:spacing w:before="0" w:beforeAutospacing="0" w:after="0" w:afterAutospacing="0"/>
        <w:jc w:val="both"/>
        <w:rPr>
          <w:rFonts w:ascii="Verdana" w:eastAsiaTheme="minorHAnsi" w:hAnsi="Verdana"/>
          <w:sz w:val="16"/>
          <w:szCs w:val="16"/>
          <w:lang w:val="es-ES_tradnl" w:eastAsia="es-ES_tradnl"/>
        </w:rPr>
      </w:pPr>
    </w:p>
  </w:footnote>
  <w:footnote w:id="65">
    <w:p w14:paraId="20F8D5AA" w14:textId="546BECF8" w:rsidR="0046241E" w:rsidRDefault="0046241E" w:rsidP="002F649F">
      <w:pPr>
        <w:widowControl w:val="0"/>
        <w:autoSpaceDE w:val="0"/>
        <w:autoSpaceDN w:val="0"/>
        <w:adjustRightInd w:val="0"/>
        <w:jc w:val="both"/>
        <w:rPr>
          <w:rFonts w:ascii="Verdana" w:eastAsiaTheme="minorHAnsi" w:hAnsi="Verdana" w:cs="Tahoma"/>
          <w:sz w:val="16"/>
          <w:szCs w:val="16"/>
        </w:rPr>
      </w:pPr>
      <w:r w:rsidRPr="008F62B8">
        <w:rPr>
          <w:rStyle w:val="FootnoteReference"/>
          <w:rFonts w:ascii="Verdana" w:hAnsi="Verdana"/>
          <w:sz w:val="16"/>
          <w:szCs w:val="16"/>
        </w:rPr>
        <w:footnoteRef/>
      </w:r>
      <w:r w:rsidRPr="008F62B8">
        <w:rPr>
          <w:rFonts w:ascii="Verdana" w:hAnsi="Verdana"/>
          <w:sz w:val="16"/>
          <w:szCs w:val="16"/>
        </w:rPr>
        <w:t xml:space="preserve"> </w:t>
      </w:r>
      <w:r w:rsidRPr="008F62B8">
        <w:rPr>
          <w:rFonts w:ascii="Verdana" w:hAnsi="Verdana"/>
          <w:sz w:val="16"/>
          <w:szCs w:val="16"/>
        </w:rPr>
        <w:tab/>
        <w:t>Ello no obsta a la posibilidad de que, efectuado el análisis hermenéutico correspondiente, pudiera eventualmente concluirse que el texto de algunas normas del Protocolo de San Salvador incluya alusiones que, sin perjuicio de no expresarla palabra “vivienda”, substantivamente refieran al derecho a la vivienda, o a elementos del mismo que se vinculen al derecho que sí se recepta en forma explícita. Así podría entenderse, por ejemplo, el artículo 17, denominado “Protección de los Ancianos”, que indica que “[t]</w:t>
      </w:r>
      <w:r w:rsidRPr="008F62B8">
        <w:rPr>
          <w:rFonts w:ascii="Verdana" w:eastAsiaTheme="minorHAnsi" w:hAnsi="Verdana" w:cs="Tahoma"/>
          <w:sz w:val="16"/>
          <w:szCs w:val="16"/>
        </w:rPr>
        <w:t>oda persona tiene derecho a protección especial durante su ancianidad. En tal cometido, los Estados Partes se comprometen a adoptar de manera progresiva las medidas necesarias a fin de llevar este derecho a la práctica y en particular a: a. Proporcionar instalaciones adecuadas, así como alimentación y atención médica especializada a las personas de edad avanzada que carezcan de ella y no se encuentren en condiciones de proporcionársela por sí mismas […]”.</w:t>
      </w:r>
    </w:p>
    <w:p w14:paraId="74519E7F" w14:textId="77777777" w:rsidR="0046241E" w:rsidRPr="008F62B8" w:rsidRDefault="0046241E" w:rsidP="002F649F">
      <w:pPr>
        <w:widowControl w:val="0"/>
        <w:autoSpaceDE w:val="0"/>
        <w:autoSpaceDN w:val="0"/>
        <w:adjustRightInd w:val="0"/>
        <w:jc w:val="both"/>
        <w:rPr>
          <w:rFonts w:ascii="Verdana" w:eastAsiaTheme="minorHAnsi" w:hAnsi="Verdana" w:cs="Tahoma"/>
          <w:sz w:val="16"/>
          <w:szCs w:val="16"/>
        </w:rPr>
      </w:pPr>
    </w:p>
  </w:footnote>
  <w:footnote w:id="66">
    <w:p w14:paraId="2B5B6AC2" w14:textId="32B7E3E1" w:rsidR="0046241E" w:rsidRPr="002F649F" w:rsidRDefault="0046241E" w:rsidP="002F649F">
      <w:pPr>
        <w:pStyle w:val="FootnoteText"/>
        <w:jc w:val="both"/>
        <w:rPr>
          <w:rFonts w:ascii="Verdana" w:hAnsi="Verdana"/>
          <w:b/>
          <w:bCs/>
          <w:sz w:val="16"/>
          <w:szCs w:val="16"/>
          <w:lang w:val="es-CR"/>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sz w:val="16"/>
          <w:szCs w:val="16"/>
          <w:lang w:val="es-CR"/>
        </w:rPr>
        <w:t xml:space="preserve">Por ejemplo, en la Sentencia se </w:t>
      </w:r>
      <w:r w:rsidRPr="008F62B8">
        <w:rPr>
          <w:rFonts w:ascii="Verdana" w:hAnsi="Verdana"/>
          <w:sz w:val="16"/>
          <w:szCs w:val="16"/>
          <w:lang w:val="es-CR"/>
        </w:rPr>
        <w:t>ha hecho referencia, en el párrafo 249 (nota a pie de página 3</w:t>
      </w:r>
      <w:r>
        <w:rPr>
          <w:rFonts w:ascii="Verdana" w:hAnsi="Verdana"/>
          <w:sz w:val="16"/>
          <w:szCs w:val="16"/>
          <w:lang w:val="es-CR"/>
        </w:rPr>
        <w:t>50</w:t>
      </w:r>
      <w:r w:rsidRPr="008F62B8">
        <w:rPr>
          <w:rFonts w:ascii="Verdana" w:hAnsi="Verdana"/>
          <w:sz w:val="16"/>
          <w:szCs w:val="16"/>
          <w:lang w:val="es-CR"/>
        </w:rPr>
        <w:t xml:space="preserve">), a los </w:t>
      </w:r>
      <w:r w:rsidRPr="008F62B8">
        <w:rPr>
          <w:rFonts w:ascii="Verdana" w:hAnsi="Verdana"/>
          <w:sz w:val="16"/>
          <w:szCs w:val="16"/>
          <w:lang w:bidi="en-US"/>
        </w:rPr>
        <w:t>Principios Rectores de los Desplazamientos Internos de las Naciones Unidas. Solo por</w:t>
      </w:r>
      <w:r w:rsidRPr="002F649F">
        <w:rPr>
          <w:rFonts w:ascii="Verdana" w:hAnsi="Verdana"/>
          <w:sz w:val="16"/>
          <w:szCs w:val="16"/>
          <w:lang w:bidi="en-US"/>
        </w:rPr>
        <w:t xml:space="preserve"> señalar algunos otros ejemplos, puede </w:t>
      </w:r>
      <w:r w:rsidRPr="002331A9">
        <w:rPr>
          <w:rFonts w:ascii="Verdana" w:hAnsi="Verdana"/>
          <w:sz w:val="16"/>
          <w:szCs w:val="16"/>
          <w:lang w:bidi="en-US"/>
        </w:rPr>
        <w:t xml:space="preserve">mencionarse lo siguiente: en relación con el caso </w:t>
      </w:r>
      <w:r w:rsidRPr="008757AC">
        <w:rPr>
          <w:rFonts w:ascii="Verdana" w:hAnsi="Verdana"/>
          <w:i/>
          <w:sz w:val="16"/>
          <w:szCs w:val="16"/>
          <w:lang w:bidi="en-US"/>
        </w:rPr>
        <w:t xml:space="preserve">Duque Vs. Colombia, </w:t>
      </w:r>
      <w:r w:rsidRPr="008757AC">
        <w:rPr>
          <w:rFonts w:ascii="Verdana" w:hAnsi="Verdana"/>
          <w:sz w:val="16"/>
          <w:szCs w:val="16"/>
          <w:lang w:bidi="en-US"/>
        </w:rPr>
        <w:t>la Corte aludió a</w:t>
      </w:r>
      <w:r w:rsidRPr="00DB01B1">
        <w:rPr>
          <w:rFonts w:ascii="Verdana" w:hAnsi="Verdana"/>
          <w:i/>
          <w:sz w:val="16"/>
          <w:szCs w:val="16"/>
          <w:lang w:bidi="en-US"/>
        </w:rPr>
        <w:t xml:space="preserve"> </w:t>
      </w:r>
      <w:r w:rsidRPr="00DB01B1">
        <w:rPr>
          <w:rFonts w:ascii="Verdana" w:hAnsi="Verdana"/>
          <w:sz w:val="16"/>
          <w:szCs w:val="16"/>
          <w:lang w:bidi="en-US"/>
        </w:rPr>
        <w:t>los</w:t>
      </w:r>
      <w:r w:rsidRPr="00DB01B1">
        <w:rPr>
          <w:rFonts w:ascii="Verdana" w:hAnsi="Verdana"/>
          <w:i/>
          <w:sz w:val="16"/>
          <w:szCs w:val="16"/>
          <w:lang w:bidi="en-US"/>
        </w:rPr>
        <w:t xml:space="preserve"> </w:t>
      </w:r>
      <w:r w:rsidRPr="00DB01B1">
        <w:rPr>
          <w:rFonts w:ascii="Verdana" w:eastAsia="Calibri" w:hAnsi="Verdana"/>
          <w:sz w:val="16"/>
          <w:szCs w:val="16"/>
          <w:lang w:val="es-CR"/>
        </w:rPr>
        <w:t>Principios de Yogyakarta</w:t>
      </w:r>
      <w:r w:rsidRPr="002331A9">
        <w:rPr>
          <w:rFonts w:ascii="Verdana" w:eastAsia="Calibri" w:hAnsi="Verdana"/>
          <w:sz w:val="16"/>
          <w:szCs w:val="16"/>
          <w:lang w:val="es-CR"/>
        </w:rPr>
        <w:t xml:space="preserve"> sobre</w:t>
      </w:r>
      <w:r w:rsidRPr="002F649F">
        <w:rPr>
          <w:rFonts w:ascii="Verdana" w:eastAsia="Calibri" w:hAnsi="Verdana"/>
          <w:sz w:val="16"/>
          <w:szCs w:val="16"/>
          <w:lang w:val="es-CR"/>
        </w:rPr>
        <w:t xml:space="preserve"> la aplicación del derecho internacional de los derechos humanos en relación con la orientación sexual y la identidad de género y a pronunciamientos del Comité de Derechos Humanos de Naciones Unidas (</w:t>
      </w:r>
      <w:r w:rsidRPr="002F649F">
        <w:rPr>
          <w:rFonts w:ascii="Verdana" w:eastAsia="Calibri" w:hAnsi="Verdana"/>
          <w:i/>
          <w:sz w:val="16"/>
          <w:szCs w:val="16"/>
          <w:lang w:val="es-CR"/>
        </w:rPr>
        <w:t>cfr.</w:t>
      </w:r>
      <w:r w:rsidRPr="002F649F">
        <w:rPr>
          <w:rFonts w:ascii="Verdana" w:eastAsia="Calibri" w:hAnsi="Verdana"/>
          <w:sz w:val="16"/>
          <w:szCs w:val="16"/>
          <w:lang w:val="es-CR"/>
        </w:rPr>
        <w:t xml:space="preserve"> Corte IDH. </w:t>
      </w:r>
      <w:r w:rsidRPr="002F649F">
        <w:rPr>
          <w:rStyle w:val="Strong"/>
          <w:rFonts w:ascii="Verdana" w:hAnsi="Verdana"/>
          <w:b w:val="0"/>
          <w:i/>
          <w:sz w:val="16"/>
          <w:szCs w:val="16"/>
        </w:rPr>
        <w:t>Caso Duque Vs. Colombia. Excepciones Preliminares, Fondo, Reparaciones y Costas.</w:t>
      </w:r>
      <w:r w:rsidRPr="002F649F">
        <w:rPr>
          <w:rStyle w:val="Strong"/>
          <w:rFonts w:ascii="Verdana" w:hAnsi="Verdana"/>
          <w:b w:val="0"/>
          <w:sz w:val="16"/>
          <w:szCs w:val="16"/>
        </w:rPr>
        <w:t xml:space="preserve"> Sentencia de 26 de febrero de 2016. Serie C No. 310, </w:t>
      </w:r>
      <w:proofErr w:type="spellStart"/>
      <w:r w:rsidRPr="002F649F">
        <w:rPr>
          <w:rStyle w:val="Strong"/>
          <w:rFonts w:ascii="Verdana" w:hAnsi="Verdana"/>
          <w:b w:val="0"/>
          <w:sz w:val="16"/>
          <w:szCs w:val="16"/>
        </w:rPr>
        <w:t>párrs</w:t>
      </w:r>
      <w:proofErr w:type="spellEnd"/>
      <w:r w:rsidRPr="002F649F">
        <w:rPr>
          <w:rStyle w:val="Strong"/>
          <w:rFonts w:ascii="Verdana" w:hAnsi="Verdana"/>
          <w:b w:val="0"/>
          <w:sz w:val="16"/>
          <w:szCs w:val="16"/>
        </w:rPr>
        <w:t>.</w:t>
      </w:r>
      <w:r w:rsidRPr="002F649F">
        <w:rPr>
          <w:rFonts w:ascii="Verdana" w:eastAsia="Calibri" w:hAnsi="Verdana"/>
          <w:b/>
          <w:sz w:val="16"/>
          <w:szCs w:val="16"/>
          <w:lang w:val="es-CR"/>
        </w:rPr>
        <w:t xml:space="preserve"> </w:t>
      </w:r>
      <w:r w:rsidRPr="002F649F">
        <w:rPr>
          <w:rFonts w:ascii="Verdana" w:eastAsia="Calibri" w:hAnsi="Verdana"/>
          <w:sz w:val="16"/>
          <w:szCs w:val="16"/>
          <w:lang w:val="es-CR"/>
        </w:rPr>
        <w:t>110 y 111).</w:t>
      </w:r>
      <w:r w:rsidRPr="002F649F">
        <w:rPr>
          <w:rFonts w:ascii="Verdana" w:hAnsi="Verdana"/>
          <w:bCs/>
          <w:sz w:val="16"/>
          <w:szCs w:val="16"/>
          <w:lang w:val="es-CR"/>
        </w:rPr>
        <w:t xml:space="preserve"> Respecto al caso</w:t>
      </w:r>
      <w:r w:rsidRPr="002F649F">
        <w:rPr>
          <w:rStyle w:val="Strong"/>
          <w:rFonts w:ascii="Verdana" w:hAnsi="Verdana"/>
          <w:b w:val="0"/>
          <w:i/>
          <w:sz w:val="16"/>
          <w:szCs w:val="16"/>
        </w:rPr>
        <w:t xml:space="preserve"> </w:t>
      </w:r>
      <w:r w:rsidRPr="002F649F">
        <w:rPr>
          <w:rStyle w:val="Strong"/>
          <w:rFonts w:ascii="Verdana" w:hAnsi="Verdana"/>
          <w:b w:val="0"/>
          <w:sz w:val="16"/>
          <w:szCs w:val="16"/>
        </w:rPr>
        <w:t>Chinchilla Sandoval Vs. Guatemala, el Tribunal se refirió a la</w:t>
      </w:r>
      <w:r w:rsidRPr="002F649F">
        <w:rPr>
          <w:rFonts w:ascii="Verdana" w:hAnsi="Verdana"/>
          <w:b/>
          <w:bCs/>
          <w:sz w:val="16"/>
          <w:szCs w:val="16"/>
          <w:lang w:val="es-CR"/>
        </w:rPr>
        <w:t xml:space="preserve"> </w:t>
      </w:r>
      <w:r w:rsidRPr="002F649F">
        <w:rPr>
          <w:rFonts w:ascii="Verdana" w:hAnsi="Verdana"/>
          <w:bCs/>
          <w:sz w:val="16"/>
          <w:szCs w:val="16"/>
          <w:lang w:val="es-CR"/>
        </w:rPr>
        <w:t>Convención sobre los Derechos de las Personas con Discapacidad (</w:t>
      </w:r>
      <w:r w:rsidRPr="002F649F">
        <w:rPr>
          <w:rFonts w:ascii="Verdana" w:hAnsi="Verdana"/>
          <w:bCs/>
          <w:i/>
          <w:sz w:val="16"/>
          <w:szCs w:val="16"/>
          <w:lang w:val="es-CR"/>
        </w:rPr>
        <w:t>cfr.</w:t>
      </w:r>
      <w:r w:rsidRPr="002F649F">
        <w:rPr>
          <w:rFonts w:ascii="Verdana" w:hAnsi="Verdana"/>
          <w:b/>
          <w:bCs/>
          <w:i/>
          <w:sz w:val="16"/>
          <w:szCs w:val="16"/>
          <w:lang w:val="es-CR"/>
        </w:rPr>
        <w:t xml:space="preserve"> </w:t>
      </w:r>
      <w:r w:rsidRPr="002F649F">
        <w:rPr>
          <w:rFonts w:ascii="Verdana" w:hAnsi="Verdana"/>
          <w:bCs/>
          <w:sz w:val="16"/>
          <w:szCs w:val="16"/>
          <w:lang w:val="es-CR"/>
        </w:rPr>
        <w:t xml:space="preserve">Corte IDH. </w:t>
      </w:r>
      <w:r w:rsidRPr="002F649F">
        <w:rPr>
          <w:rStyle w:val="Strong"/>
          <w:rFonts w:ascii="Verdana" w:hAnsi="Verdana"/>
          <w:b w:val="0"/>
          <w:i/>
          <w:sz w:val="16"/>
          <w:szCs w:val="16"/>
        </w:rPr>
        <w:t>Caso Chinchilla Sandoval Vs. Guatemala. Excepción Preliminar, Fondo, Reparaciones y Costas</w:t>
      </w:r>
      <w:r w:rsidRPr="002F649F">
        <w:rPr>
          <w:rStyle w:val="Strong"/>
          <w:rFonts w:ascii="Verdana" w:hAnsi="Verdana"/>
          <w:b w:val="0"/>
          <w:sz w:val="16"/>
          <w:szCs w:val="16"/>
        </w:rPr>
        <w:t>. Sentencia de 29 de febrero de 2016. Serie C No. 312, párr.</w:t>
      </w:r>
      <w:r w:rsidRPr="002F649F">
        <w:rPr>
          <w:rFonts w:ascii="Verdana" w:hAnsi="Verdana"/>
          <w:b/>
          <w:sz w:val="16"/>
          <w:szCs w:val="16"/>
        </w:rPr>
        <w:t xml:space="preserve"> </w:t>
      </w:r>
      <w:r w:rsidRPr="002F649F">
        <w:rPr>
          <w:rFonts w:ascii="Verdana" w:hAnsi="Verdana"/>
          <w:bCs/>
          <w:sz w:val="16"/>
          <w:szCs w:val="16"/>
          <w:lang w:val="es-CR"/>
        </w:rPr>
        <w:t>205).</w:t>
      </w:r>
      <w:r w:rsidRPr="002F649F">
        <w:rPr>
          <w:rFonts w:ascii="Verdana" w:hAnsi="Verdana"/>
          <w:b/>
          <w:bCs/>
          <w:sz w:val="16"/>
          <w:szCs w:val="16"/>
          <w:lang w:val="es-CR"/>
        </w:rPr>
        <w:t xml:space="preserve"> </w:t>
      </w:r>
    </w:p>
  </w:footnote>
  <w:footnote w:id="67">
    <w:p w14:paraId="211BEDC0" w14:textId="77777777" w:rsidR="0046241E" w:rsidRDefault="0046241E" w:rsidP="002F649F">
      <w:pPr>
        <w:pStyle w:val="FootnoteText"/>
        <w:jc w:val="both"/>
        <w:rPr>
          <w:rFonts w:ascii="Verdana" w:hAnsi="Verdana"/>
          <w:sz w:val="16"/>
          <w:szCs w:val="16"/>
        </w:rPr>
      </w:pPr>
    </w:p>
    <w:p w14:paraId="4BE61ED4" w14:textId="7114CC5E" w:rsidR="0046241E" w:rsidRPr="002F649F" w:rsidRDefault="0046241E" w:rsidP="002F649F">
      <w:pPr>
        <w:pStyle w:val="FootnoteText"/>
        <w:jc w:val="both"/>
        <w:rPr>
          <w:rFonts w:ascii="Verdana" w:hAnsi="Verdana"/>
          <w:b/>
          <w:bCs/>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sz w:val="16"/>
          <w:szCs w:val="16"/>
          <w:lang w:val="es-CR"/>
        </w:rPr>
        <w:t xml:space="preserve">Algunos ejemplos, entre varios otros, son las siguientes Sentencias: Corte IDH. </w:t>
      </w:r>
      <w:r w:rsidRPr="002F649F">
        <w:rPr>
          <w:rFonts w:ascii="Verdana" w:hAnsi="Verdana"/>
          <w:i/>
          <w:sz w:val="16"/>
          <w:szCs w:val="16"/>
          <w:lang w:val="es-CR"/>
        </w:rPr>
        <w:t xml:space="preserve">Caso Gonzales </w:t>
      </w:r>
      <w:proofErr w:type="spellStart"/>
      <w:r w:rsidRPr="002F649F">
        <w:rPr>
          <w:rFonts w:ascii="Verdana" w:hAnsi="Verdana"/>
          <w:i/>
          <w:sz w:val="16"/>
          <w:szCs w:val="16"/>
          <w:lang w:val="es-CR"/>
        </w:rPr>
        <w:t>Lluy</w:t>
      </w:r>
      <w:proofErr w:type="spellEnd"/>
      <w:r w:rsidRPr="002F649F">
        <w:rPr>
          <w:rFonts w:ascii="Verdana" w:hAnsi="Verdana"/>
          <w:i/>
          <w:sz w:val="16"/>
          <w:szCs w:val="16"/>
          <w:lang w:val="es-CR"/>
        </w:rPr>
        <w:t xml:space="preserve"> y otros Vs. Ecuador. Excepciones Preliminares, Fondo, Reparaciones y Costas. </w:t>
      </w:r>
      <w:r w:rsidRPr="002F649F">
        <w:rPr>
          <w:rFonts w:ascii="Verdana" w:hAnsi="Verdana"/>
          <w:sz w:val="16"/>
          <w:szCs w:val="16"/>
          <w:lang w:val="es-CR"/>
        </w:rPr>
        <w:t>Sentencia de 01 de septiembre de 2015. Serie C No. 298, párr. 17; o</w:t>
      </w:r>
      <w:r w:rsidRPr="002F649F">
        <w:rPr>
          <w:rStyle w:val="Strong"/>
          <w:rFonts w:ascii="Verdana" w:hAnsi="Verdana"/>
          <w:b w:val="0"/>
          <w:sz w:val="16"/>
          <w:szCs w:val="16"/>
          <w:lang w:val="es-CR"/>
        </w:rPr>
        <w:t xml:space="preserve"> </w:t>
      </w:r>
      <w:r w:rsidRPr="002F649F">
        <w:rPr>
          <w:rStyle w:val="Strong"/>
          <w:rFonts w:ascii="Verdana" w:hAnsi="Verdana"/>
          <w:b w:val="0"/>
          <w:i/>
          <w:sz w:val="16"/>
          <w:szCs w:val="16"/>
        </w:rPr>
        <w:t xml:space="preserve">Caso Pueblos </w:t>
      </w:r>
      <w:proofErr w:type="spellStart"/>
      <w:r w:rsidRPr="002F649F">
        <w:rPr>
          <w:rStyle w:val="Strong"/>
          <w:rFonts w:ascii="Verdana" w:hAnsi="Verdana"/>
          <w:b w:val="0"/>
          <w:i/>
          <w:sz w:val="16"/>
          <w:szCs w:val="16"/>
        </w:rPr>
        <w:t>Kaliña</w:t>
      </w:r>
      <w:proofErr w:type="spellEnd"/>
      <w:r w:rsidRPr="002F649F">
        <w:rPr>
          <w:rStyle w:val="Strong"/>
          <w:rFonts w:ascii="Verdana" w:hAnsi="Verdana"/>
          <w:b w:val="0"/>
          <w:i/>
          <w:sz w:val="16"/>
          <w:szCs w:val="16"/>
        </w:rPr>
        <w:t xml:space="preserve"> y </w:t>
      </w:r>
      <w:proofErr w:type="spellStart"/>
      <w:r w:rsidRPr="002F649F">
        <w:rPr>
          <w:rStyle w:val="Strong"/>
          <w:rFonts w:ascii="Verdana" w:hAnsi="Verdana"/>
          <w:b w:val="0"/>
          <w:i/>
          <w:sz w:val="16"/>
          <w:szCs w:val="16"/>
        </w:rPr>
        <w:t>Lokono</w:t>
      </w:r>
      <w:proofErr w:type="spellEnd"/>
      <w:r w:rsidRPr="002F649F">
        <w:rPr>
          <w:rStyle w:val="Strong"/>
          <w:rFonts w:ascii="Verdana" w:hAnsi="Verdana"/>
          <w:b w:val="0"/>
          <w:i/>
          <w:sz w:val="16"/>
          <w:szCs w:val="16"/>
        </w:rPr>
        <w:t xml:space="preserve"> Vs. Surinam. Fondo, Reparaciones y Costas</w:t>
      </w:r>
      <w:r w:rsidRPr="002F649F">
        <w:rPr>
          <w:rStyle w:val="Strong"/>
          <w:rFonts w:ascii="Verdana" w:hAnsi="Verdana"/>
          <w:b w:val="0"/>
          <w:sz w:val="16"/>
          <w:szCs w:val="16"/>
        </w:rPr>
        <w:t xml:space="preserve">. Sentencia de 25 de noviembre de 2015. Serie C No. 309, párr. 122. </w:t>
      </w:r>
    </w:p>
  </w:footnote>
  <w:footnote w:id="68">
    <w:p w14:paraId="477CA256" w14:textId="77777777" w:rsidR="0046241E" w:rsidRDefault="0046241E" w:rsidP="002F649F">
      <w:pPr>
        <w:pStyle w:val="FootnoteText"/>
        <w:jc w:val="both"/>
        <w:rPr>
          <w:rFonts w:ascii="Verdana" w:hAnsi="Verdana"/>
          <w:sz w:val="16"/>
          <w:szCs w:val="16"/>
        </w:rPr>
      </w:pPr>
    </w:p>
    <w:p w14:paraId="777119D0" w14:textId="7E39B5E2" w:rsidR="0046241E"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La Carta Internacional de Derechos Humanos comprende la Declaración Universal de Derechos Humanos, el Pacto Internacional de Derechos Económicos, Sociales y Culturales, el Pacto Internacional de Derechos Civiles y Políticos y sus dos protocolos facultativos.</w:t>
      </w:r>
    </w:p>
    <w:p w14:paraId="6AF8A71B" w14:textId="77777777" w:rsidR="0046241E" w:rsidRPr="002F649F" w:rsidRDefault="0046241E" w:rsidP="002F649F">
      <w:pPr>
        <w:pStyle w:val="FootnoteText"/>
        <w:jc w:val="both"/>
        <w:rPr>
          <w:rFonts w:ascii="Verdana" w:hAnsi="Verdana"/>
          <w:sz w:val="16"/>
          <w:szCs w:val="16"/>
        </w:rPr>
      </w:pPr>
    </w:p>
  </w:footnote>
  <w:footnote w:id="69">
    <w:p w14:paraId="54BC80F8" w14:textId="77777777" w:rsidR="0046241E"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ONU, Comité DESC. Observación General No. 4. El derecho a una vivienda adecuada (párrafo 1 del artículo 11 del Pacto. Sexto período de sesiones (1991). Documento E/1992/23, párr. 7.</w:t>
      </w:r>
    </w:p>
    <w:p w14:paraId="77A2A7E5" w14:textId="1B7F174D" w:rsidR="0046241E" w:rsidRPr="002F649F" w:rsidRDefault="0046241E" w:rsidP="002F649F">
      <w:pPr>
        <w:pStyle w:val="FootnoteText"/>
        <w:jc w:val="both"/>
        <w:rPr>
          <w:rFonts w:ascii="Verdana" w:hAnsi="Verdana"/>
          <w:sz w:val="16"/>
          <w:szCs w:val="16"/>
        </w:rPr>
      </w:pPr>
    </w:p>
  </w:footnote>
  <w:footnote w:id="70">
    <w:p w14:paraId="009C2647" w14:textId="51FD8AEF" w:rsidR="0046241E" w:rsidRPr="002F649F" w:rsidRDefault="0046241E" w:rsidP="002F649F">
      <w:pPr>
        <w:pStyle w:val="FootnoteText"/>
        <w:jc w:val="both"/>
        <w:rPr>
          <w:rFonts w:ascii="Verdana" w:hAnsi="Verdana" w:cs="Arial"/>
          <w:bCs/>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i/>
          <w:sz w:val="16"/>
          <w:szCs w:val="16"/>
        </w:rPr>
        <w:t>Cfr.</w:t>
      </w:r>
      <w:r w:rsidRPr="002F649F">
        <w:rPr>
          <w:rFonts w:ascii="Verdana" w:hAnsi="Verdana"/>
          <w:sz w:val="16"/>
          <w:szCs w:val="16"/>
        </w:rPr>
        <w:t xml:space="preserve"> </w:t>
      </w:r>
      <w:r w:rsidRPr="002F649F">
        <w:rPr>
          <w:rFonts w:ascii="Verdana" w:hAnsi="Verdana" w:cs="Arial"/>
          <w:bCs/>
          <w:sz w:val="16"/>
          <w:szCs w:val="16"/>
        </w:rPr>
        <w:t xml:space="preserve">ONU, Comité DESC. Observación general 7, El derecho a una vivienda adecuada (párrafo 1 del artículo 11 del Pacto): los desalojos forzosos (16º período de sesiones, 1997), U.N. Doc. E/1999/22, anexo IV (1997), párr. 3. </w:t>
      </w:r>
    </w:p>
  </w:footnote>
  <w:footnote w:id="71">
    <w:p w14:paraId="47011CE8" w14:textId="77777777" w:rsidR="0046241E" w:rsidRDefault="0046241E" w:rsidP="002F649F">
      <w:pPr>
        <w:pStyle w:val="FootnoteText"/>
        <w:jc w:val="both"/>
        <w:rPr>
          <w:rFonts w:ascii="Verdana" w:hAnsi="Verdana"/>
          <w:sz w:val="16"/>
          <w:szCs w:val="16"/>
        </w:rPr>
      </w:pPr>
    </w:p>
    <w:p w14:paraId="0175158A" w14:textId="77777777" w:rsidR="0046241E" w:rsidRPr="002F649F" w:rsidRDefault="0046241E" w:rsidP="002F649F">
      <w:pPr>
        <w:pStyle w:val="FootnoteText"/>
        <w:jc w:val="both"/>
        <w:rPr>
          <w:rFonts w:ascii="Verdana" w:hAnsi="Verdana" w:cs="Arial"/>
          <w:bCs/>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i/>
          <w:sz w:val="16"/>
          <w:szCs w:val="16"/>
        </w:rPr>
        <w:t>Cfr.</w:t>
      </w:r>
      <w:r w:rsidRPr="002F649F">
        <w:rPr>
          <w:rFonts w:ascii="Verdana" w:hAnsi="Verdana"/>
          <w:sz w:val="16"/>
          <w:szCs w:val="16"/>
        </w:rPr>
        <w:t xml:space="preserve"> </w:t>
      </w:r>
      <w:r w:rsidRPr="002F649F">
        <w:rPr>
          <w:rFonts w:ascii="Verdana" w:hAnsi="Verdana" w:cs="Arial"/>
          <w:bCs/>
          <w:sz w:val="16"/>
          <w:szCs w:val="16"/>
        </w:rPr>
        <w:t xml:space="preserve">ONU, Comité de Derechos Económicos, Sociales y Culturales, Observación general 7, El derecho a una vivienda adecuada (párrafo 1 del artículo 11 del Pacto): los desalojos forzosos (16º período de sesiones, 1997), U.N. Doc. E/1999/22, anexo IV (1997), párr. 6. </w:t>
      </w:r>
    </w:p>
    <w:p w14:paraId="03C7F4E7" w14:textId="77777777" w:rsidR="0046241E" w:rsidRPr="002F649F" w:rsidRDefault="0046241E" w:rsidP="002F649F">
      <w:pPr>
        <w:pStyle w:val="FootnoteText"/>
        <w:jc w:val="both"/>
        <w:rPr>
          <w:rFonts w:ascii="Verdana" w:hAnsi="Verdana"/>
          <w:sz w:val="16"/>
          <w:szCs w:val="16"/>
          <w:lang w:val="es-ES_tradnl"/>
        </w:rPr>
      </w:pPr>
    </w:p>
  </w:footnote>
  <w:footnote w:id="72">
    <w:p w14:paraId="290AEF83" w14:textId="77777777" w:rsidR="0046241E" w:rsidRPr="002F649F" w:rsidRDefault="0046241E" w:rsidP="002F649F">
      <w:pPr>
        <w:pStyle w:val="FootnoteText"/>
        <w:jc w:val="both"/>
        <w:rPr>
          <w:rFonts w:ascii="Verdana" w:hAnsi="Verdana" w:cs="Arial"/>
          <w:bCs/>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i/>
          <w:sz w:val="16"/>
          <w:szCs w:val="16"/>
        </w:rPr>
        <w:t>Cfr.</w:t>
      </w:r>
      <w:r w:rsidRPr="002F649F">
        <w:rPr>
          <w:rFonts w:ascii="Verdana" w:hAnsi="Verdana"/>
          <w:sz w:val="16"/>
          <w:szCs w:val="16"/>
        </w:rPr>
        <w:t xml:space="preserve"> </w:t>
      </w:r>
      <w:r w:rsidRPr="002F649F">
        <w:rPr>
          <w:rFonts w:ascii="Verdana" w:hAnsi="Verdana" w:cs="Arial"/>
          <w:bCs/>
          <w:sz w:val="16"/>
          <w:szCs w:val="16"/>
        </w:rPr>
        <w:t>ONU, Comité de Derechos Económicos, Sociales y Culturales, Observación general 7, El derecho a una vivienda adecuada (párrafo 1 del artículo 11 del Pacto): los desalojos forzosos (16º período de sesiones, 1997), U.N. Doc. E/1999/22, anexo IV (1997), párr. 5.</w:t>
      </w:r>
    </w:p>
    <w:p w14:paraId="23933886" w14:textId="77777777" w:rsidR="0046241E" w:rsidRPr="002F649F" w:rsidRDefault="0046241E" w:rsidP="002F649F">
      <w:pPr>
        <w:pStyle w:val="FootnoteText"/>
        <w:jc w:val="both"/>
        <w:rPr>
          <w:rFonts w:ascii="Verdana" w:hAnsi="Verdana" w:cs="Arial"/>
          <w:bCs/>
          <w:sz w:val="16"/>
          <w:szCs w:val="16"/>
        </w:rPr>
      </w:pPr>
    </w:p>
  </w:footnote>
  <w:footnote w:id="73">
    <w:p w14:paraId="61EC356F" w14:textId="77777777" w:rsidR="0046241E" w:rsidRPr="002F649F" w:rsidRDefault="0046241E" w:rsidP="002F649F">
      <w:pPr>
        <w:pStyle w:val="FootnoteText"/>
        <w:jc w:val="both"/>
        <w:rPr>
          <w:rFonts w:ascii="Verdana" w:hAnsi="Verdana" w:cs="Arial"/>
          <w:bCs/>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lang w:val="es-ES_tradnl"/>
        </w:rPr>
        <w:tab/>
      </w:r>
      <w:r w:rsidRPr="002F649F">
        <w:rPr>
          <w:rFonts w:ascii="Verdana" w:hAnsi="Verdana"/>
          <w:i/>
          <w:sz w:val="16"/>
          <w:szCs w:val="16"/>
        </w:rPr>
        <w:t>Cfr.</w:t>
      </w:r>
      <w:r w:rsidRPr="002F649F">
        <w:rPr>
          <w:rFonts w:ascii="Verdana" w:hAnsi="Verdana"/>
          <w:sz w:val="16"/>
          <w:szCs w:val="16"/>
        </w:rPr>
        <w:t xml:space="preserve"> </w:t>
      </w:r>
      <w:r w:rsidRPr="002F649F">
        <w:rPr>
          <w:rFonts w:ascii="Verdana" w:hAnsi="Verdana" w:cs="Arial"/>
          <w:bCs/>
          <w:sz w:val="16"/>
          <w:szCs w:val="16"/>
        </w:rPr>
        <w:t>ONU, Comité de Derechos Económicos, Sociales y Culturales, Observación general 7, El derecho a una vivienda adecuada (párrafo 1 del artículo 11 del Pacto): los desalojos forzosos (16º período de sesiones, 1997), U.N. Doc. E/1999/22, anexo IV (1997), párr. 4.</w:t>
      </w:r>
    </w:p>
    <w:p w14:paraId="3DCACB7A" w14:textId="77777777" w:rsidR="0046241E" w:rsidRPr="002F649F" w:rsidRDefault="0046241E" w:rsidP="002F649F">
      <w:pPr>
        <w:pStyle w:val="FootnoteText"/>
        <w:jc w:val="both"/>
        <w:rPr>
          <w:rFonts w:ascii="Verdana" w:hAnsi="Verdana"/>
          <w:sz w:val="16"/>
          <w:szCs w:val="16"/>
          <w:lang w:val="es-ES_tradnl"/>
        </w:rPr>
      </w:pPr>
    </w:p>
  </w:footnote>
  <w:footnote w:id="74">
    <w:p w14:paraId="1C4FF784" w14:textId="35114E13" w:rsidR="0046241E" w:rsidRDefault="0046241E" w:rsidP="002F649F">
      <w:pPr>
        <w:pStyle w:val="FootnoteText"/>
        <w:jc w:val="both"/>
        <w:rPr>
          <w:rFonts w:ascii="Verdana" w:eastAsiaTheme="minorHAnsi" w:hAnsi="Verdana"/>
          <w:sz w:val="16"/>
          <w:szCs w:val="16"/>
          <w:lang w:eastAsia="es-ES_tradnl"/>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Notando que, como ya ha quedado indicado (</w:t>
      </w:r>
      <w:r w:rsidRPr="002F649F">
        <w:rPr>
          <w:rFonts w:ascii="Verdana" w:hAnsi="Verdana"/>
          <w:i/>
          <w:sz w:val="16"/>
          <w:szCs w:val="16"/>
        </w:rPr>
        <w:t>supra</w:t>
      </w:r>
      <w:r w:rsidRPr="002F649F">
        <w:rPr>
          <w:rFonts w:ascii="Verdana" w:hAnsi="Verdana"/>
          <w:sz w:val="16"/>
          <w:szCs w:val="16"/>
        </w:rPr>
        <w:t xml:space="preserve">, párr. 56 del presente voto), en la Observación General No 4 de ese órgano, se indicó que “[e]l derecho a la vivienda no se debe interpretar en un sentido estricto o restrictivo que lo equipare, por ejemplo, con el cobijo que resulta del mero hecho de tener un tejado por encima de la cabeza o lo considere exclusivamente como una comodidad. Debe considerarse más bien como el derecho a vivir en seguridad, paz y dignidad en alguna parte”. Naciones Unidas, Asamblea General, Doc. A/71/310. 8 de agosto de 2016, </w:t>
      </w:r>
      <w:r w:rsidRPr="002F649F">
        <w:rPr>
          <w:rFonts w:ascii="Verdana" w:eastAsiaTheme="minorHAnsi" w:hAnsi="Verdana"/>
          <w:sz w:val="16"/>
          <w:szCs w:val="16"/>
          <w:lang w:eastAsia="es-ES_tradnl"/>
        </w:rPr>
        <w:t>Informe de la Relatora Especial sobre una vivienda adecuada como elemento integrante del derecho a un nivel de vida adecuado y sobre el derecho de no discriminación</w:t>
      </w:r>
      <w:r>
        <w:rPr>
          <w:rFonts w:ascii="Verdana" w:eastAsiaTheme="minorHAnsi" w:hAnsi="Verdana"/>
          <w:sz w:val="16"/>
          <w:szCs w:val="16"/>
          <w:lang w:eastAsia="es-ES_tradnl"/>
        </w:rPr>
        <w:t xml:space="preserve"> a este respecto, </w:t>
      </w:r>
      <w:r w:rsidRPr="002F649F">
        <w:rPr>
          <w:rFonts w:ascii="Verdana" w:eastAsiaTheme="minorHAnsi" w:hAnsi="Verdana"/>
          <w:sz w:val="16"/>
          <w:szCs w:val="16"/>
          <w:lang w:eastAsia="es-ES_tradnl"/>
        </w:rPr>
        <w:t xml:space="preserve">párr. 27. La referencia al Comité DESC corresponde al siguiente texto de ese órgano: Observación General No. 4 (1991), párr. 7.  </w:t>
      </w:r>
    </w:p>
    <w:p w14:paraId="44B8BDAB" w14:textId="77777777" w:rsidR="0046241E" w:rsidRPr="002F649F" w:rsidRDefault="0046241E" w:rsidP="002F649F">
      <w:pPr>
        <w:pStyle w:val="FootnoteText"/>
        <w:jc w:val="both"/>
        <w:rPr>
          <w:rFonts w:ascii="Verdana" w:eastAsiaTheme="minorHAnsi" w:hAnsi="Verdana"/>
          <w:sz w:val="16"/>
          <w:szCs w:val="16"/>
          <w:lang w:eastAsia="es-ES_tradnl"/>
        </w:rPr>
      </w:pPr>
    </w:p>
  </w:footnote>
  <w:footnote w:id="75">
    <w:p w14:paraId="568EFD47" w14:textId="3C1FCF1E" w:rsidR="0046241E" w:rsidRDefault="0046241E" w:rsidP="002F649F">
      <w:pPr>
        <w:pStyle w:val="FootnoteText"/>
        <w:jc w:val="both"/>
        <w:rPr>
          <w:rFonts w:ascii="Verdana" w:eastAsiaTheme="minorHAnsi" w:hAnsi="Verdana"/>
          <w:sz w:val="16"/>
          <w:szCs w:val="16"/>
          <w:lang w:eastAsia="es-ES_tradnl"/>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Naciones Unidas, Asamblea General, Doc. A/71/310. 8 de agosto de 2016, </w:t>
      </w:r>
      <w:r w:rsidRPr="002F649F">
        <w:rPr>
          <w:rFonts w:ascii="Verdana" w:eastAsiaTheme="minorHAnsi" w:hAnsi="Verdana"/>
          <w:sz w:val="16"/>
          <w:szCs w:val="16"/>
          <w:lang w:eastAsia="es-ES_tradnl"/>
        </w:rPr>
        <w:t>Informe de la Relatora Especial sobre una vivienda adecuada como elemento integrante del derecho a un nivel de vida adecuado y sobre el derecho de no discriminación a este respecto,  párr. 27.</w:t>
      </w:r>
    </w:p>
    <w:p w14:paraId="2DFC9055" w14:textId="77777777" w:rsidR="0046241E" w:rsidRPr="002F649F" w:rsidRDefault="0046241E" w:rsidP="002F649F">
      <w:pPr>
        <w:pStyle w:val="FootnoteText"/>
        <w:jc w:val="both"/>
        <w:rPr>
          <w:rFonts w:ascii="Verdana" w:eastAsiaTheme="minorHAnsi" w:hAnsi="Verdana"/>
          <w:sz w:val="16"/>
          <w:szCs w:val="16"/>
          <w:lang w:eastAsia="es-ES_tradnl"/>
        </w:rPr>
      </w:pPr>
    </w:p>
  </w:footnote>
  <w:footnote w:id="76">
    <w:p w14:paraId="39A80242" w14:textId="53ADFA1E" w:rsidR="0046241E" w:rsidRPr="002F649F" w:rsidRDefault="0046241E" w:rsidP="002F649F">
      <w:pPr>
        <w:pStyle w:val="FootnoteText"/>
        <w:jc w:val="both"/>
        <w:rPr>
          <w:rFonts w:ascii="Verdana" w:eastAsiaTheme="minorHAnsi" w:hAnsi="Verdana"/>
          <w:sz w:val="16"/>
          <w:szCs w:val="16"/>
          <w:lang w:eastAsia="es-ES_tradnl"/>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Naciones Unidas, Asamblea General, Doc. A/71/310. 8 de agosto de 2016, </w:t>
      </w:r>
      <w:r w:rsidRPr="002F649F">
        <w:rPr>
          <w:rFonts w:ascii="Verdana" w:eastAsiaTheme="minorHAnsi" w:hAnsi="Verdana"/>
          <w:sz w:val="16"/>
          <w:szCs w:val="16"/>
          <w:lang w:eastAsia="es-ES_tradnl"/>
        </w:rPr>
        <w:t xml:space="preserve">Informe de la Relatora Especial sobre una vivienda adecuada como elemento integrante del derecho a un nivel de vida adecuado y sobre el derecho de no discriminación a este respecto, párr. 31. </w:t>
      </w:r>
    </w:p>
  </w:footnote>
  <w:footnote w:id="77">
    <w:p w14:paraId="0131E663" w14:textId="77777777" w:rsidR="0046241E" w:rsidRDefault="0046241E" w:rsidP="002F649F">
      <w:pPr>
        <w:pStyle w:val="FootnoteText"/>
        <w:rPr>
          <w:rFonts w:ascii="Verdana" w:hAnsi="Verdana"/>
          <w:sz w:val="16"/>
          <w:szCs w:val="16"/>
        </w:rPr>
      </w:pPr>
    </w:p>
    <w:p w14:paraId="6382BC10" w14:textId="54612065" w:rsidR="0046241E" w:rsidRPr="002F649F" w:rsidRDefault="0046241E" w:rsidP="002F649F">
      <w:pPr>
        <w:pStyle w:val="FootnoteText"/>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i/>
          <w:sz w:val="16"/>
          <w:szCs w:val="16"/>
        </w:rPr>
        <w:t>Cfr.</w:t>
      </w:r>
      <w:r w:rsidRPr="002F649F">
        <w:rPr>
          <w:rFonts w:ascii="Verdana" w:hAnsi="Verdana"/>
          <w:sz w:val="16"/>
          <w:szCs w:val="16"/>
        </w:rPr>
        <w:t xml:space="preserve"> ONU. Comité́ DESC, Comunicación No. 2/2014 respecto de España, E/C.12/55/D/2/2014, 17 de junio de 2015, párr. 11.1.  </w:t>
      </w:r>
    </w:p>
    <w:p w14:paraId="29758DC0" w14:textId="77777777" w:rsidR="0046241E" w:rsidRPr="002F649F" w:rsidRDefault="0046241E" w:rsidP="002F649F">
      <w:pPr>
        <w:pStyle w:val="FootnoteText"/>
        <w:rPr>
          <w:rFonts w:ascii="Verdana" w:hAnsi="Verdana"/>
          <w:sz w:val="16"/>
          <w:szCs w:val="16"/>
          <w:lang w:val="es-ES_tradnl"/>
        </w:rPr>
      </w:pPr>
    </w:p>
  </w:footnote>
  <w:footnote w:id="78">
    <w:p w14:paraId="672D405F" w14:textId="66DBD15A" w:rsidR="0046241E"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Comité de los Derechos del Niño. Observaciones finales sobre los informes periódicos tercero y cuarto combinados de Indonesia. 10 de julio de 2014. Doc. CRC/C/IDN/CO/3-4, párr. 23. </w:t>
      </w:r>
    </w:p>
    <w:p w14:paraId="264E2DB3" w14:textId="77777777" w:rsidR="0046241E" w:rsidRPr="002F649F" w:rsidRDefault="0046241E" w:rsidP="002F649F">
      <w:pPr>
        <w:pStyle w:val="FootnoteText"/>
        <w:jc w:val="both"/>
        <w:rPr>
          <w:rFonts w:ascii="Verdana" w:hAnsi="Verdana"/>
          <w:sz w:val="16"/>
          <w:szCs w:val="16"/>
        </w:rPr>
      </w:pPr>
    </w:p>
  </w:footnote>
  <w:footnote w:id="79">
    <w:p w14:paraId="4E0B62A3" w14:textId="77777777" w:rsidR="0046241E" w:rsidRPr="002F649F" w:rsidRDefault="0046241E" w:rsidP="002F649F">
      <w:pPr>
        <w:autoSpaceDE w:val="0"/>
        <w:autoSpaceDN w:val="0"/>
        <w:adjustRightInd w:val="0"/>
        <w:jc w:val="both"/>
        <w:rPr>
          <w:rFonts w:ascii="Verdana" w:eastAsiaTheme="minorHAnsi" w:hAnsi="Verdana"/>
          <w:bCs/>
          <w:color w:val="000000"/>
          <w:sz w:val="16"/>
          <w:szCs w:val="16"/>
          <w:lang w:val="es-CR"/>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i/>
          <w:sz w:val="16"/>
          <w:szCs w:val="16"/>
          <w:lang w:val="es-CR"/>
        </w:rPr>
        <w:t>Cfr.</w:t>
      </w:r>
      <w:r w:rsidRPr="002F649F">
        <w:rPr>
          <w:rFonts w:ascii="Verdana" w:hAnsi="Verdana"/>
          <w:sz w:val="16"/>
          <w:szCs w:val="16"/>
          <w:lang w:val="es-CR"/>
        </w:rPr>
        <w:t xml:space="preserve"> </w:t>
      </w:r>
      <w:r w:rsidRPr="002F649F">
        <w:rPr>
          <w:rFonts w:ascii="Verdana" w:eastAsiaTheme="minorHAnsi" w:hAnsi="Verdana"/>
          <w:bCs/>
          <w:color w:val="000000"/>
          <w:sz w:val="16"/>
          <w:szCs w:val="16"/>
          <w:lang w:val="es-CR"/>
        </w:rPr>
        <w:t>Comité para la Eliminación de la Discriminación contra la Mujer. 32º periodo de sesiones. Dictamen adoptado el 26 de enero de 2005.</w:t>
      </w:r>
    </w:p>
    <w:p w14:paraId="25D3F729" w14:textId="77777777" w:rsidR="0046241E" w:rsidRPr="002F649F" w:rsidRDefault="0046241E" w:rsidP="002F649F">
      <w:pPr>
        <w:autoSpaceDE w:val="0"/>
        <w:autoSpaceDN w:val="0"/>
        <w:adjustRightInd w:val="0"/>
        <w:jc w:val="both"/>
        <w:rPr>
          <w:rFonts w:ascii="Verdana" w:hAnsi="Verdana"/>
          <w:sz w:val="16"/>
          <w:szCs w:val="16"/>
          <w:lang w:val="es-CR"/>
        </w:rPr>
      </w:pPr>
    </w:p>
  </w:footnote>
  <w:footnote w:id="80">
    <w:p w14:paraId="6A4FE793" w14:textId="386D6E5F"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lang w:val="es-ES_tradnl"/>
        </w:rPr>
        <w:tab/>
      </w:r>
      <w:r w:rsidRPr="002F649F">
        <w:rPr>
          <w:rFonts w:ascii="Verdana" w:hAnsi="Verdana"/>
          <w:i/>
          <w:sz w:val="16"/>
          <w:szCs w:val="16"/>
        </w:rPr>
        <w:t>Cfr.</w:t>
      </w:r>
      <w:r w:rsidRPr="002F649F">
        <w:rPr>
          <w:rFonts w:ascii="Verdana" w:hAnsi="Verdana"/>
          <w:sz w:val="16"/>
          <w:szCs w:val="16"/>
        </w:rPr>
        <w:t xml:space="preserve"> Corte IDH. </w:t>
      </w:r>
      <w:r w:rsidRPr="002F649F">
        <w:rPr>
          <w:rFonts w:ascii="Verdana" w:hAnsi="Verdana"/>
          <w:i/>
          <w:sz w:val="16"/>
          <w:szCs w:val="16"/>
        </w:rPr>
        <w:t xml:space="preserve">Caso </w:t>
      </w:r>
      <w:proofErr w:type="spellStart"/>
      <w:r w:rsidRPr="002F649F">
        <w:rPr>
          <w:rFonts w:ascii="Verdana" w:hAnsi="Verdana"/>
          <w:i/>
          <w:sz w:val="16"/>
          <w:szCs w:val="16"/>
        </w:rPr>
        <w:t>Yarce</w:t>
      </w:r>
      <w:proofErr w:type="spellEnd"/>
      <w:r w:rsidRPr="002F649F">
        <w:rPr>
          <w:rFonts w:ascii="Verdana" w:hAnsi="Verdana"/>
          <w:i/>
          <w:sz w:val="16"/>
          <w:szCs w:val="16"/>
        </w:rPr>
        <w:t xml:space="preserve"> y otras Vs. Colombia. Excepción Preliminar, Fondo, Reparaciones y Costas.</w:t>
      </w:r>
      <w:r w:rsidRPr="002F649F">
        <w:rPr>
          <w:rFonts w:ascii="Verdana" w:hAnsi="Verdana"/>
          <w:sz w:val="16"/>
          <w:szCs w:val="16"/>
        </w:rPr>
        <w:t xml:space="preserve"> Sentencia de 22 de noviembre de  2016, Serie C </w:t>
      </w:r>
      <w:r>
        <w:rPr>
          <w:rFonts w:ascii="Verdana" w:hAnsi="Verdana"/>
          <w:sz w:val="16"/>
          <w:szCs w:val="16"/>
        </w:rPr>
        <w:t>No. 325</w:t>
      </w:r>
      <w:r w:rsidRPr="002F649F">
        <w:rPr>
          <w:rFonts w:ascii="Verdana" w:hAnsi="Verdana"/>
          <w:sz w:val="16"/>
          <w:szCs w:val="16"/>
        </w:rPr>
        <w:t xml:space="preserve">, </w:t>
      </w:r>
      <w:r w:rsidRPr="00DB01B1">
        <w:rPr>
          <w:rFonts w:ascii="Verdana" w:hAnsi="Verdana"/>
          <w:sz w:val="16"/>
          <w:szCs w:val="16"/>
        </w:rPr>
        <w:t>párr. 25</w:t>
      </w:r>
      <w:r>
        <w:rPr>
          <w:rFonts w:ascii="Verdana" w:hAnsi="Verdana"/>
          <w:sz w:val="16"/>
          <w:szCs w:val="16"/>
        </w:rPr>
        <w:t>7</w:t>
      </w:r>
      <w:r w:rsidRPr="00DB01B1">
        <w:rPr>
          <w:rFonts w:ascii="Verdana" w:hAnsi="Verdana"/>
          <w:sz w:val="16"/>
          <w:szCs w:val="16"/>
        </w:rPr>
        <w:t>.</w:t>
      </w:r>
    </w:p>
    <w:p w14:paraId="1673E3D9" w14:textId="77777777" w:rsidR="0046241E" w:rsidRPr="002F649F" w:rsidRDefault="0046241E" w:rsidP="002F649F">
      <w:pPr>
        <w:pStyle w:val="FootnoteText"/>
        <w:jc w:val="both"/>
        <w:rPr>
          <w:rFonts w:ascii="Verdana" w:hAnsi="Verdana"/>
          <w:sz w:val="16"/>
          <w:szCs w:val="16"/>
          <w:lang w:val="es-ES_tradnl"/>
        </w:rPr>
      </w:pPr>
    </w:p>
  </w:footnote>
  <w:footnote w:id="81">
    <w:p w14:paraId="38ED9C9D" w14:textId="15FCB280" w:rsidR="0046241E"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Comité DESC. Observación General No. 4. El derecho a una vivienda adecuada (párrafo 1 del artículo 11 del Pacto. Sexto período de sesiones (1991).</w:t>
      </w:r>
      <w:r>
        <w:rPr>
          <w:rFonts w:ascii="Verdana" w:hAnsi="Verdana"/>
          <w:sz w:val="16"/>
          <w:szCs w:val="16"/>
        </w:rPr>
        <w:t xml:space="preserve"> Documento E/1992/23, párr. </w:t>
      </w:r>
      <w:proofErr w:type="gramStart"/>
      <w:r>
        <w:rPr>
          <w:rFonts w:ascii="Verdana" w:hAnsi="Verdana"/>
          <w:sz w:val="16"/>
          <w:szCs w:val="16"/>
        </w:rPr>
        <w:t>8.a</w:t>
      </w:r>
      <w:proofErr w:type="gramEnd"/>
      <w:r w:rsidRPr="002F649F">
        <w:rPr>
          <w:rFonts w:ascii="Verdana" w:hAnsi="Verdana"/>
          <w:sz w:val="16"/>
          <w:szCs w:val="16"/>
        </w:rPr>
        <w:t>. La independencia entre derechos de propiedad y la seguridad jurídica en cuanto a la vivienda también permite entender lo señalado por el Comité en su Observación General No. 7, el Comité DESC indicó que “[l]os desalojos no deberían dar lugar a que haya personas que se queden sin vivienda o expuestas a violaciones de otros derechos humanos. Cuando los afectados por el desalojo no dispongan de recursos, el Estado Parte deberá adoptar todas las medidas necesarias, en la mayor medida que permitan sus recursos, para que se proporcione otra vivienda, reasentamiento o acceso a tierr</w:t>
      </w:r>
      <w:r>
        <w:rPr>
          <w:rFonts w:ascii="Verdana" w:hAnsi="Verdana"/>
          <w:sz w:val="16"/>
          <w:szCs w:val="16"/>
        </w:rPr>
        <w:t xml:space="preserve">as productivas, según proceda”. </w:t>
      </w:r>
      <w:r w:rsidRPr="002F649F">
        <w:rPr>
          <w:rFonts w:ascii="Verdana" w:hAnsi="Verdana"/>
          <w:sz w:val="16"/>
          <w:szCs w:val="16"/>
        </w:rPr>
        <w:t xml:space="preserve">Comité DESC. Observación General No. 7. El derecho a una vivienda adecuada (párrafo 1 del artículo 11 del Pacto): los desalojos forzosos. 16º período de sesiones (1997), párr. 16. </w:t>
      </w:r>
    </w:p>
    <w:p w14:paraId="203BE786" w14:textId="77777777" w:rsidR="0046241E" w:rsidRPr="002F649F" w:rsidRDefault="0046241E" w:rsidP="002F649F">
      <w:pPr>
        <w:pStyle w:val="FootnoteText"/>
        <w:jc w:val="both"/>
        <w:rPr>
          <w:rFonts w:ascii="Verdana" w:hAnsi="Verdana"/>
          <w:sz w:val="16"/>
          <w:szCs w:val="16"/>
        </w:rPr>
      </w:pPr>
    </w:p>
  </w:footnote>
  <w:footnote w:id="82">
    <w:p w14:paraId="54A11CEC" w14:textId="592FFC17" w:rsidR="0046241E" w:rsidRDefault="0046241E" w:rsidP="002B4780">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Corte IDH. </w:t>
      </w:r>
      <w:r w:rsidRPr="002F649F">
        <w:rPr>
          <w:rFonts w:ascii="Verdana" w:hAnsi="Verdana"/>
          <w:i/>
          <w:sz w:val="16"/>
          <w:szCs w:val="16"/>
        </w:rPr>
        <w:t xml:space="preserve">Caso </w:t>
      </w:r>
      <w:proofErr w:type="spellStart"/>
      <w:r w:rsidRPr="002F649F">
        <w:rPr>
          <w:rFonts w:ascii="Verdana" w:hAnsi="Verdana"/>
          <w:i/>
          <w:sz w:val="16"/>
          <w:szCs w:val="16"/>
        </w:rPr>
        <w:t>Yarce</w:t>
      </w:r>
      <w:proofErr w:type="spellEnd"/>
      <w:r w:rsidRPr="002F649F">
        <w:rPr>
          <w:rFonts w:ascii="Verdana" w:hAnsi="Verdana"/>
          <w:i/>
          <w:sz w:val="16"/>
          <w:szCs w:val="16"/>
        </w:rPr>
        <w:t xml:space="preserve"> y otras Vs. Colombia. Excepción Preliminar, Fondo, Reparaciones y Costas.</w:t>
      </w:r>
      <w:r w:rsidRPr="002F649F">
        <w:rPr>
          <w:rFonts w:ascii="Verdana" w:hAnsi="Verdana"/>
          <w:sz w:val="16"/>
          <w:szCs w:val="16"/>
        </w:rPr>
        <w:t xml:space="preserve"> Sentencia de 22 de noviembre de  2016, Serie C </w:t>
      </w:r>
      <w:r>
        <w:rPr>
          <w:rFonts w:ascii="Verdana" w:hAnsi="Verdana"/>
          <w:sz w:val="16"/>
          <w:szCs w:val="16"/>
        </w:rPr>
        <w:t>No. 325</w:t>
      </w:r>
      <w:r w:rsidRPr="002F649F">
        <w:rPr>
          <w:rFonts w:ascii="Verdana" w:hAnsi="Verdana"/>
          <w:sz w:val="16"/>
          <w:szCs w:val="16"/>
        </w:rPr>
        <w:t xml:space="preserve">, </w:t>
      </w:r>
      <w:r w:rsidRPr="00DB01B1">
        <w:rPr>
          <w:rFonts w:ascii="Verdana" w:hAnsi="Verdana"/>
          <w:sz w:val="16"/>
          <w:szCs w:val="16"/>
        </w:rPr>
        <w:t>párr. 25</w:t>
      </w:r>
      <w:r>
        <w:rPr>
          <w:rFonts w:ascii="Verdana" w:hAnsi="Verdana"/>
          <w:sz w:val="16"/>
          <w:szCs w:val="16"/>
        </w:rPr>
        <w:t>5</w:t>
      </w:r>
      <w:r w:rsidRPr="002F649F">
        <w:rPr>
          <w:rFonts w:ascii="Verdana" w:hAnsi="Verdana"/>
          <w:sz w:val="16"/>
          <w:szCs w:val="16"/>
        </w:rPr>
        <w:t>. De hecho, el Comité DESC ha advertido que “el derecho a no ser sujeto a interferencia arbitraria o ilegal en la vida privada, la familia, el hogar o la correspondencia, constituye una dimensión muy importante al definir el derecho a una vivienda adecuada” (Comité DESC, Observación General No. 4. El derecho a una vivienda adecuada (párrafo 1 del artículo 11 del Pacto. Sexto período de sesiones (1991). Documento E/1992/23, párr. 9.</w:t>
      </w:r>
    </w:p>
    <w:p w14:paraId="3F3E2C8D" w14:textId="77777777" w:rsidR="0046241E" w:rsidRPr="002F649F" w:rsidRDefault="0046241E" w:rsidP="002B4780">
      <w:pPr>
        <w:pStyle w:val="FootnoteText"/>
        <w:jc w:val="both"/>
        <w:rPr>
          <w:rFonts w:ascii="Verdana" w:hAnsi="Verdana"/>
          <w:sz w:val="16"/>
          <w:szCs w:val="16"/>
        </w:rPr>
      </w:pPr>
    </w:p>
  </w:footnote>
  <w:footnote w:id="83">
    <w:p w14:paraId="107F671E" w14:textId="3841CD5C" w:rsidR="0046241E" w:rsidRPr="002F649F" w:rsidRDefault="0046241E" w:rsidP="002B4780">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Pr>
          <w:rFonts w:ascii="Verdana" w:hAnsi="Verdana"/>
          <w:sz w:val="16"/>
          <w:szCs w:val="16"/>
        </w:rPr>
        <w:tab/>
      </w:r>
      <w:r w:rsidRPr="002F649F">
        <w:rPr>
          <w:rFonts w:ascii="Verdana" w:hAnsi="Verdana"/>
          <w:i/>
          <w:sz w:val="16"/>
          <w:szCs w:val="16"/>
        </w:rPr>
        <w:t>Cfr.</w:t>
      </w:r>
      <w:r w:rsidRPr="002F649F">
        <w:rPr>
          <w:rFonts w:ascii="Verdana" w:hAnsi="Verdana"/>
          <w:sz w:val="16"/>
          <w:szCs w:val="16"/>
        </w:rPr>
        <w:t xml:space="preserve"> Corte IDH. </w:t>
      </w:r>
      <w:r w:rsidRPr="002F649F">
        <w:rPr>
          <w:rFonts w:ascii="Verdana" w:hAnsi="Verdana"/>
          <w:i/>
          <w:sz w:val="16"/>
          <w:szCs w:val="16"/>
        </w:rPr>
        <w:t xml:space="preserve">Caso </w:t>
      </w:r>
      <w:proofErr w:type="spellStart"/>
      <w:r w:rsidRPr="002F649F">
        <w:rPr>
          <w:rFonts w:ascii="Verdana" w:hAnsi="Verdana"/>
          <w:i/>
          <w:sz w:val="16"/>
          <w:szCs w:val="16"/>
        </w:rPr>
        <w:t>Yarce</w:t>
      </w:r>
      <w:proofErr w:type="spellEnd"/>
      <w:r w:rsidRPr="002F649F">
        <w:rPr>
          <w:rFonts w:ascii="Verdana" w:hAnsi="Verdana"/>
          <w:i/>
          <w:sz w:val="16"/>
          <w:szCs w:val="16"/>
        </w:rPr>
        <w:t xml:space="preserve"> y otras Vs. Colombia. Excepción Preliminar, Fondo, Reparaciones y Costas.</w:t>
      </w:r>
      <w:r w:rsidRPr="002F649F">
        <w:rPr>
          <w:rFonts w:ascii="Verdana" w:hAnsi="Verdana"/>
          <w:sz w:val="16"/>
          <w:szCs w:val="16"/>
        </w:rPr>
        <w:t xml:space="preserve"> Sentencia de 22 de noviembre de  2016, Serie C </w:t>
      </w:r>
      <w:r>
        <w:rPr>
          <w:rFonts w:ascii="Verdana" w:hAnsi="Verdana"/>
          <w:sz w:val="16"/>
          <w:szCs w:val="16"/>
        </w:rPr>
        <w:t>No. 325</w:t>
      </w:r>
      <w:r w:rsidRPr="002F649F">
        <w:rPr>
          <w:rFonts w:ascii="Verdana" w:hAnsi="Verdana"/>
          <w:sz w:val="16"/>
          <w:szCs w:val="16"/>
        </w:rPr>
        <w:t xml:space="preserve">, </w:t>
      </w:r>
      <w:r w:rsidRPr="00DB01B1">
        <w:rPr>
          <w:rFonts w:ascii="Verdana" w:hAnsi="Verdana"/>
          <w:sz w:val="16"/>
          <w:szCs w:val="16"/>
        </w:rPr>
        <w:t>párr. 26</w:t>
      </w:r>
      <w:r>
        <w:rPr>
          <w:rFonts w:ascii="Verdana" w:hAnsi="Verdana"/>
          <w:sz w:val="16"/>
          <w:szCs w:val="16"/>
        </w:rPr>
        <w:t>0</w:t>
      </w:r>
      <w:r w:rsidRPr="00DB01B1">
        <w:rPr>
          <w:rFonts w:ascii="Verdana" w:hAnsi="Verdana"/>
          <w:sz w:val="16"/>
          <w:szCs w:val="16"/>
        </w:rPr>
        <w:t>.</w:t>
      </w:r>
      <w:r w:rsidRPr="002F649F">
        <w:rPr>
          <w:rFonts w:ascii="Verdana" w:hAnsi="Verdana"/>
          <w:sz w:val="16"/>
          <w:szCs w:val="16"/>
        </w:rPr>
        <w:t xml:space="preserve"> </w:t>
      </w:r>
    </w:p>
    <w:p w14:paraId="02A3B714" w14:textId="77777777" w:rsidR="0046241E" w:rsidRPr="002F649F" w:rsidRDefault="0046241E" w:rsidP="002B4780">
      <w:pPr>
        <w:pStyle w:val="FootnoteText"/>
        <w:jc w:val="both"/>
        <w:rPr>
          <w:rFonts w:ascii="Verdana" w:hAnsi="Verdana"/>
          <w:sz w:val="16"/>
          <w:szCs w:val="16"/>
          <w:lang w:val="es-ES_tradnl"/>
        </w:rPr>
      </w:pPr>
    </w:p>
  </w:footnote>
  <w:footnote w:id="84">
    <w:p w14:paraId="6D8ED02D" w14:textId="30817A1E"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Al respecto, me remito a lo que he sostenido en oportunidades anteriores respecto al derecho a la salud, que considero que son aplicables también, por analogía, al derecho a la vivienda: “[l]a posibilidad de que este Tribunal Interamericano se pronuncie sobre el derecho a la salud deriva, en primer término, de la ‘interdependencia e indivisibilidad’ existente entre los derechos civiles y políticos con respecto de los económicos, sociales y culturales. […D</w:t>
      </w:r>
      <w:proofErr w:type="gramStart"/>
      <w:r w:rsidRPr="002F649F">
        <w:rPr>
          <w:rFonts w:ascii="Verdana" w:hAnsi="Verdana"/>
          <w:sz w:val="16"/>
          <w:szCs w:val="16"/>
        </w:rPr>
        <w:t>]</w:t>
      </w:r>
      <w:proofErr w:type="spellStart"/>
      <w:r w:rsidRPr="002F649F">
        <w:rPr>
          <w:rFonts w:ascii="Verdana" w:hAnsi="Verdana"/>
          <w:sz w:val="16"/>
          <w:szCs w:val="16"/>
        </w:rPr>
        <w:t>eben</w:t>
      </w:r>
      <w:proofErr w:type="spellEnd"/>
      <w:proofErr w:type="gramEnd"/>
      <w:r w:rsidRPr="002F649F">
        <w:rPr>
          <w:rFonts w:ascii="Verdana" w:hAnsi="Verdana"/>
          <w:sz w:val="16"/>
          <w:szCs w:val="16"/>
        </w:rPr>
        <w:t xml:space="preserve"> ser entendidos integralmente como derechos humanos, sin jerarquía entre sí y exigibles en todos los casos ante aquellas autoridades que r</w:t>
      </w:r>
      <w:r>
        <w:rPr>
          <w:rFonts w:ascii="Verdana" w:hAnsi="Verdana"/>
          <w:sz w:val="16"/>
          <w:szCs w:val="16"/>
        </w:rPr>
        <w:t>esulten competentes para ello”. Voto C</w:t>
      </w:r>
      <w:r w:rsidRPr="002F649F">
        <w:rPr>
          <w:rFonts w:ascii="Verdana" w:hAnsi="Verdana"/>
          <w:sz w:val="16"/>
          <w:szCs w:val="16"/>
        </w:rPr>
        <w:t xml:space="preserve">oncurrente respecto de la Sentencia de la Corte en el </w:t>
      </w:r>
      <w:r w:rsidRPr="002F649F">
        <w:rPr>
          <w:rFonts w:ascii="Verdana" w:hAnsi="Verdana"/>
          <w:i/>
          <w:sz w:val="16"/>
          <w:szCs w:val="16"/>
        </w:rPr>
        <w:t>Caso Suárez Peralta Vs. Ecuador</w:t>
      </w:r>
      <w:r>
        <w:rPr>
          <w:rFonts w:ascii="Verdana" w:hAnsi="Verdana"/>
          <w:i/>
          <w:sz w:val="16"/>
          <w:szCs w:val="16"/>
        </w:rPr>
        <w:t>.</w:t>
      </w:r>
      <w:r w:rsidRPr="002F649F">
        <w:rPr>
          <w:rFonts w:ascii="Verdana" w:hAnsi="Verdana"/>
          <w:sz w:val="16"/>
          <w:szCs w:val="16"/>
        </w:rPr>
        <w:t xml:space="preserve"> </w:t>
      </w:r>
      <w:r w:rsidRPr="002F649F">
        <w:rPr>
          <w:rFonts w:ascii="Verdana" w:hAnsi="Verdana"/>
          <w:i/>
          <w:sz w:val="16"/>
          <w:szCs w:val="16"/>
        </w:rPr>
        <w:t>Excepciones Preliminares, Fondo, Reparaciones y Costas.</w:t>
      </w:r>
      <w:r w:rsidRPr="002F649F">
        <w:rPr>
          <w:rFonts w:ascii="Verdana" w:hAnsi="Verdana"/>
          <w:sz w:val="16"/>
          <w:szCs w:val="16"/>
        </w:rPr>
        <w:t xml:space="preserve"> Sentencia de 21 d</w:t>
      </w:r>
      <w:r>
        <w:rPr>
          <w:rFonts w:ascii="Verdana" w:hAnsi="Verdana"/>
          <w:sz w:val="16"/>
          <w:szCs w:val="16"/>
        </w:rPr>
        <w:t>e mayo de 2013. Serie C No. 261</w:t>
      </w:r>
      <w:r w:rsidRPr="002F649F">
        <w:rPr>
          <w:rFonts w:ascii="Verdana" w:hAnsi="Verdana"/>
          <w:sz w:val="16"/>
          <w:szCs w:val="16"/>
        </w:rPr>
        <w:t xml:space="preserve">, párr. 15 (siendo la cuestión desarrollada en los párrafos 16 a 27 del mismo </w:t>
      </w:r>
      <w:r>
        <w:rPr>
          <w:rFonts w:ascii="Verdana" w:hAnsi="Verdana"/>
          <w:sz w:val="16"/>
          <w:szCs w:val="16"/>
        </w:rPr>
        <w:t>voto, a cuya lectura remito) y Voto C</w:t>
      </w:r>
      <w:r w:rsidRPr="002F649F">
        <w:rPr>
          <w:rFonts w:ascii="Verdana" w:hAnsi="Verdana"/>
          <w:sz w:val="16"/>
          <w:szCs w:val="16"/>
        </w:rPr>
        <w:t xml:space="preserve">oncurrente sobre la Sentencia del Tribunal respecto al caso </w:t>
      </w:r>
      <w:r w:rsidRPr="002F649F">
        <w:rPr>
          <w:rFonts w:ascii="Verdana" w:hAnsi="Verdana"/>
          <w:i/>
          <w:sz w:val="16"/>
          <w:szCs w:val="16"/>
        </w:rPr>
        <w:t xml:space="preserve">González </w:t>
      </w:r>
      <w:proofErr w:type="spellStart"/>
      <w:r w:rsidRPr="002F649F">
        <w:rPr>
          <w:rFonts w:ascii="Verdana" w:hAnsi="Verdana"/>
          <w:i/>
          <w:sz w:val="16"/>
          <w:szCs w:val="16"/>
        </w:rPr>
        <w:t>Lluy</w:t>
      </w:r>
      <w:proofErr w:type="spellEnd"/>
      <w:r w:rsidRPr="002F649F">
        <w:rPr>
          <w:rFonts w:ascii="Verdana" w:hAnsi="Verdana"/>
          <w:i/>
          <w:sz w:val="16"/>
          <w:szCs w:val="16"/>
        </w:rPr>
        <w:t xml:space="preserve"> y otros Vs. Ecuador</w:t>
      </w:r>
      <w:r>
        <w:rPr>
          <w:rFonts w:ascii="Verdana" w:hAnsi="Verdana"/>
          <w:i/>
          <w:sz w:val="16"/>
          <w:szCs w:val="16"/>
        </w:rPr>
        <w:t xml:space="preserve">. </w:t>
      </w:r>
      <w:r w:rsidRPr="00DB01B1">
        <w:rPr>
          <w:rFonts w:ascii="Verdana" w:hAnsi="Verdana"/>
          <w:i/>
          <w:sz w:val="16"/>
          <w:szCs w:val="16"/>
        </w:rPr>
        <w:t>Excepciones Preliminares, Fondo, Reparaciones y Costas</w:t>
      </w:r>
      <w:r w:rsidRPr="002F649F">
        <w:rPr>
          <w:rFonts w:ascii="Verdana" w:hAnsi="Verdana"/>
          <w:sz w:val="16"/>
          <w:szCs w:val="16"/>
        </w:rPr>
        <w:t>. Sentencia de 01 de septiembre de 2</w:t>
      </w:r>
      <w:r>
        <w:rPr>
          <w:rFonts w:ascii="Verdana" w:hAnsi="Verdana"/>
          <w:sz w:val="16"/>
          <w:szCs w:val="16"/>
        </w:rPr>
        <w:t>015. Serie C No. 298, párr. 15</w:t>
      </w:r>
      <w:r w:rsidRPr="002F649F">
        <w:rPr>
          <w:rFonts w:ascii="Verdana" w:hAnsi="Verdana"/>
          <w:sz w:val="16"/>
          <w:szCs w:val="16"/>
        </w:rPr>
        <w:t>.</w:t>
      </w:r>
    </w:p>
  </w:footnote>
  <w:footnote w:id="85">
    <w:p w14:paraId="72601D95" w14:textId="77777777" w:rsidR="0046241E" w:rsidRDefault="0046241E" w:rsidP="002F649F">
      <w:pPr>
        <w:pStyle w:val="FootnoteText"/>
        <w:jc w:val="both"/>
        <w:rPr>
          <w:rFonts w:ascii="Verdana" w:hAnsi="Verdana"/>
          <w:sz w:val="16"/>
          <w:szCs w:val="16"/>
        </w:rPr>
      </w:pPr>
    </w:p>
    <w:p w14:paraId="0119ECAB" w14:textId="5630BDF4" w:rsidR="0046241E"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Hago esta afirmación “en general” pues reitero los matices al respecto que expresé en una oportunidad anterior: “sin negar los avances alcanzados en la protección de los derechos económicos, sociales y culturales por la vía indirecta y en conexión con otros derechos civiles y políticos —que ha sido la reconocida práctica de este Tribunal Interamericano—; en mi opinión, este proceder no otorga una eficacia y efectividad plena de esos derechos, desnaturaliza su esencia, no abona al esclarecimiento de las obligaciones estatales sobre la materia y, en definitiva, provoca traslapes entre derechos, lo que lleva a confusiones innecesarias en los tiempos actuales de clara tendencia hacia el reconocimiento y eficacia normativa de </w:t>
      </w:r>
      <w:r w:rsidRPr="002F649F">
        <w:rPr>
          <w:rFonts w:ascii="Verdana" w:hAnsi="Verdana"/>
          <w:i/>
          <w:sz w:val="16"/>
          <w:szCs w:val="16"/>
        </w:rPr>
        <w:t>todos los derechos</w:t>
      </w:r>
      <w:r w:rsidRPr="002F649F">
        <w:rPr>
          <w:rFonts w:ascii="Verdana" w:hAnsi="Verdana"/>
          <w:sz w:val="16"/>
          <w:szCs w:val="16"/>
        </w:rPr>
        <w:t xml:space="preserve"> conforme a los evidentes avances que se advierten en los ámbitos nacional y en el derecho internacional </w:t>
      </w:r>
      <w:r>
        <w:rPr>
          <w:rFonts w:ascii="Verdana" w:hAnsi="Verdana"/>
          <w:sz w:val="16"/>
          <w:szCs w:val="16"/>
        </w:rPr>
        <w:t>de los derechos humanos”. Voto C</w:t>
      </w:r>
      <w:r w:rsidRPr="002F649F">
        <w:rPr>
          <w:rFonts w:ascii="Verdana" w:hAnsi="Verdana"/>
          <w:sz w:val="16"/>
          <w:szCs w:val="16"/>
        </w:rPr>
        <w:t xml:space="preserve">oncurrente respecto de la Sentencia de la Corte en el </w:t>
      </w:r>
      <w:r w:rsidRPr="002F649F">
        <w:rPr>
          <w:rFonts w:ascii="Verdana" w:hAnsi="Verdana"/>
          <w:i/>
          <w:sz w:val="16"/>
          <w:szCs w:val="16"/>
        </w:rPr>
        <w:t>Caso Suárez Peralta Vs. Ecuador</w:t>
      </w:r>
      <w:r w:rsidRPr="002F649F">
        <w:rPr>
          <w:rFonts w:ascii="Verdana" w:hAnsi="Verdana"/>
          <w:sz w:val="16"/>
          <w:szCs w:val="16"/>
        </w:rPr>
        <w:t xml:space="preserve">. </w:t>
      </w:r>
      <w:r w:rsidRPr="002F649F">
        <w:rPr>
          <w:rFonts w:ascii="Verdana" w:hAnsi="Verdana"/>
          <w:i/>
          <w:sz w:val="16"/>
          <w:szCs w:val="16"/>
        </w:rPr>
        <w:t>Excepciones Preliminares, Fondo, Reparaciones y Costas.</w:t>
      </w:r>
      <w:r w:rsidRPr="002F649F">
        <w:rPr>
          <w:rFonts w:ascii="Verdana" w:hAnsi="Verdana"/>
          <w:sz w:val="16"/>
          <w:szCs w:val="16"/>
        </w:rPr>
        <w:t xml:space="preserve"> Sentencia de 21 de mayo de </w:t>
      </w:r>
      <w:r>
        <w:rPr>
          <w:rFonts w:ascii="Verdana" w:hAnsi="Verdana"/>
          <w:sz w:val="16"/>
          <w:szCs w:val="16"/>
        </w:rPr>
        <w:t>2013. Serie C No. 261, párr. 11</w:t>
      </w:r>
      <w:r w:rsidRPr="002F649F">
        <w:rPr>
          <w:rFonts w:ascii="Verdana" w:hAnsi="Verdana"/>
          <w:sz w:val="16"/>
          <w:szCs w:val="16"/>
        </w:rPr>
        <w:t xml:space="preserve">. </w:t>
      </w:r>
    </w:p>
    <w:p w14:paraId="7236A544" w14:textId="77777777" w:rsidR="0046241E" w:rsidRPr="002F649F" w:rsidRDefault="0046241E" w:rsidP="002F649F">
      <w:pPr>
        <w:pStyle w:val="FootnoteText"/>
        <w:jc w:val="both"/>
        <w:rPr>
          <w:rFonts w:ascii="Verdana" w:hAnsi="Verdana"/>
          <w:sz w:val="16"/>
          <w:szCs w:val="16"/>
        </w:rPr>
      </w:pPr>
    </w:p>
  </w:footnote>
  <w:footnote w:id="86">
    <w:p w14:paraId="3BECDE48" w14:textId="06CEC93A" w:rsidR="0046241E" w:rsidRPr="002F649F" w:rsidRDefault="0046241E" w:rsidP="002F649F">
      <w:pPr>
        <w:pStyle w:val="FootnoteText"/>
        <w:jc w:val="both"/>
        <w:rPr>
          <w:rFonts w:ascii="Verdana" w:hAnsi="Verdana"/>
          <w:b/>
          <w:bCs/>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Así ha ocurrido, por ejemplo, en cuanto a los derechos a la salud y a la integridad en el caso </w:t>
      </w:r>
      <w:r w:rsidRPr="002F649F">
        <w:rPr>
          <w:rStyle w:val="Strong"/>
          <w:rFonts w:ascii="Verdana" w:hAnsi="Verdana"/>
          <w:b w:val="0"/>
          <w:i/>
          <w:sz w:val="16"/>
          <w:szCs w:val="16"/>
        </w:rPr>
        <w:t>Suárez Peralta Vs. Ecuador</w:t>
      </w:r>
      <w:r w:rsidRPr="002F649F">
        <w:rPr>
          <w:rFonts w:ascii="Verdana" w:hAnsi="Verdana"/>
          <w:sz w:val="16"/>
          <w:szCs w:val="16"/>
        </w:rPr>
        <w:t>: “</w:t>
      </w:r>
      <w:r w:rsidRPr="002F649F">
        <w:rPr>
          <w:rFonts w:ascii="Verdana" w:hAnsi="Verdana" w:cs="Verdana"/>
          <w:sz w:val="16"/>
          <w:szCs w:val="16"/>
        </w:rPr>
        <w:t xml:space="preserve">La Corte </w:t>
      </w:r>
      <w:proofErr w:type="spellStart"/>
      <w:r w:rsidRPr="002F649F">
        <w:rPr>
          <w:rFonts w:ascii="Verdana" w:hAnsi="Verdana" w:cs="Verdana"/>
          <w:sz w:val="16"/>
          <w:szCs w:val="16"/>
        </w:rPr>
        <w:t>concluy</w:t>
      </w:r>
      <w:proofErr w:type="spellEnd"/>
      <w:r w:rsidRPr="002F649F">
        <w:rPr>
          <w:rFonts w:ascii="Verdana" w:hAnsi="Verdana" w:cs="Verdana"/>
          <w:sz w:val="16"/>
          <w:szCs w:val="16"/>
        </w:rPr>
        <w:t>[</w:t>
      </w:r>
      <w:proofErr w:type="spellStart"/>
      <w:r w:rsidRPr="002F649F">
        <w:rPr>
          <w:rFonts w:ascii="Verdana" w:hAnsi="Verdana" w:cs="Verdana"/>
          <w:sz w:val="16"/>
          <w:szCs w:val="16"/>
        </w:rPr>
        <w:t>ó</w:t>
      </w:r>
      <w:proofErr w:type="spellEnd"/>
      <w:r w:rsidRPr="002F649F">
        <w:rPr>
          <w:rFonts w:ascii="Verdana" w:hAnsi="Verdana" w:cs="Verdana"/>
          <w:sz w:val="16"/>
          <w:szCs w:val="16"/>
        </w:rPr>
        <w:t xml:space="preserve">] que, si bien la regulación ecuatoriana en la materia contemplaba mecanismos de control y vigilancia de la </w:t>
      </w:r>
      <w:r w:rsidRPr="002F649F">
        <w:rPr>
          <w:rFonts w:ascii="Verdana" w:hAnsi="Verdana" w:cs="Verdana"/>
          <w:i/>
          <w:sz w:val="16"/>
          <w:szCs w:val="16"/>
        </w:rPr>
        <w:t>atención médica</w:t>
      </w:r>
      <w:r w:rsidRPr="002F649F">
        <w:rPr>
          <w:rFonts w:ascii="Verdana" w:hAnsi="Verdana" w:cs="Verdana"/>
          <w:sz w:val="16"/>
          <w:szCs w:val="16"/>
        </w:rPr>
        <w:t xml:space="preserve">, dicha supervisión y fiscalización no fue efectuada en el presente caso, tanto en lo que refiere al control de las prestaciones brindadas en la entidad estatal, Policlínico de la Comisión de Tránsito de Guayas, como en lo que respecta a la institución privada, Clínica </w:t>
      </w:r>
      <w:proofErr w:type="spellStart"/>
      <w:r w:rsidRPr="002F649F">
        <w:rPr>
          <w:rFonts w:ascii="Verdana" w:hAnsi="Verdana" w:cs="Verdana"/>
          <w:sz w:val="16"/>
          <w:szCs w:val="16"/>
        </w:rPr>
        <w:t>Minchala</w:t>
      </w:r>
      <w:proofErr w:type="spellEnd"/>
      <w:r w:rsidRPr="002F649F">
        <w:rPr>
          <w:rFonts w:ascii="Verdana" w:hAnsi="Verdana" w:cs="Verdana"/>
          <w:sz w:val="16"/>
          <w:szCs w:val="16"/>
        </w:rPr>
        <w:t xml:space="preserve">. La Corte estima que ello generó una situación de riesgo, conocida por el Estado, que se materializó en </w:t>
      </w:r>
      <w:r w:rsidRPr="002F649F">
        <w:rPr>
          <w:rFonts w:ascii="Verdana" w:hAnsi="Verdana" w:cs="Verdana"/>
          <w:i/>
          <w:sz w:val="16"/>
          <w:szCs w:val="16"/>
        </w:rPr>
        <w:t>afectaciones en la salud</w:t>
      </w:r>
      <w:r w:rsidRPr="002F649F">
        <w:rPr>
          <w:rFonts w:ascii="Verdana" w:hAnsi="Verdana" w:cs="Verdana"/>
          <w:sz w:val="16"/>
          <w:szCs w:val="16"/>
        </w:rPr>
        <w:t xml:space="preserve"> de Melba Suárez Peralta.</w:t>
      </w:r>
      <w:r w:rsidRPr="002F649F">
        <w:rPr>
          <w:rFonts w:ascii="Verdana" w:hAnsi="Verdana"/>
          <w:sz w:val="16"/>
          <w:szCs w:val="16"/>
        </w:rPr>
        <w:t xml:space="preserve"> Por tanto, el Estado de Ecuador incurrió en responsabilidad internacional por la falta de garantía y prevención del derecho a la </w:t>
      </w:r>
      <w:r w:rsidRPr="002F649F">
        <w:rPr>
          <w:rFonts w:ascii="Verdana" w:hAnsi="Verdana"/>
          <w:i/>
          <w:sz w:val="16"/>
          <w:szCs w:val="16"/>
        </w:rPr>
        <w:t>integridad personal</w:t>
      </w:r>
      <w:r w:rsidRPr="002F649F">
        <w:rPr>
          <w:rFonts w:ascii="Verdana" w:hAnsi="Verdana"/>
          <w:sz w:val="16"/>
          <w:szCs w:val="16"/>
        </w:rPr>
        <w:t xml:space="preserve"> de Melba Suárez Peralta, en contravención del artículo 5.1 de la Convención Americana, </w:t>
      </w:r>
      <w:r w:rsidRPr="002F649F">
        <w:rPr>
          <w:rFonts w:ascii="Verdana" w:hAnsi="Verdana"/>
          <w:sz w:val="16"/>
          <w:szCs w:val="16"/>
          <w:u w:val="single"/>
        </w:rPr>
        <w:t>en conexión con el artículo 1.1 del mismo instrumento</w:t>
      </w:r>
      <w:r w:rsidRPr="002F649F">
        <w:rPr>
          <w:rFonts w:ascii="Verdana" w:hAnsi="Verdana"/>
          <w:sz w:val="16"/>
          <w:szCs w:val="16"/>
        </w:rPr>
        <w:t>”</w:t>
      </w:r>
      <w:r>
        <w:rPr>
          <w:rFonts w:ascii="Verdana" w:hAnsi="Verdana"/>
          <w:sz w:val="16"/>
          <w:szCs w:val="16"/>
        </w:rPr>
        <w:t xml:space="preserve"> (Énfasis añadido</w:t>
      </w:r>
      <w:r w:rsidRPr="002F649F">
        <w:rPr>
          <w:rFonts w:ascii="Verdana" w:hAnsi="Verdana"/>
          <w:sz w:val="16"/>
          <w:szCs w:val="16"/>
        </w:rPr>
        <w:t>). Corte IDH.</w:t>
      </w:r>
      <w:r w:rsidRPr="002F649F">
        <w:rPr>
          <w:rFonts w:ascii="Verdana" w:hAnsi="Verdana"/>
          <w:b/>
          <w:sz w:val="16"/>
          <w:szCs w:val="16"/>
        </w:rPr>
        <w:t xml:space="preserve"> </w:t>
      </w:r>
      <w:r w:rsidRPr="002F649F">
        <w:rPr>
          <w:rStyle w:val="Strong"/>
          <w:rFonts w:ascii="Verdana" w:hAnsi="Verdana"/>
          <w:b w:val="0"/>
          <w:i/>
          <w:sz w:val="16"/>
          <w:szCs w:val="16"/>
        </w:rPr>
        <w:t>Caso Suárez Peralta Vs. Ecuador. Excepciones Preliminares, Fondo, Reparaciones y Costas.</w:t>
      </w:r>
      <w:r w:rsidRPr="002F649F">
        <w:rPr>
          <w:rStyle w:val="Strong"/>
          <w:rFonts w:ascii="Verdana" w:hAnsi="Verdana"/>
          <w:b w:val="0"/>
          <w:sz w:val="16"/>
          <w:szCs w:val="16"/>
        </w:rPr>
        <w:t xml:space="preserve"> Sentencia de 21 de mayo de 2013. Serie C No. 261, párr. 154.</w:t>
      </w:r>
    </w:p>
  </w:footnote>
  <w:footnote w:id="87">
    <w:p w14:paraId="6C5BD11E" w14:textId="77777777" w:rsidR="0046241E" w:rsidRDefault="0046241E" w:rsidP="002F649F">
      <w:pPr>
        <w:pStyle w:val="FootnoteText"/>
        <w:jc w:val="both"/>
        <w:rPr>
          <w:rFonts w:ascii="Verdana" w:hAnsi="Verdana"/>
          <w:sz w:val="16"/>
          <w:szCs w:val="16"/>
        </w:rPr>
      </w:pPr>
    </w:p>
    <w:p w14:paraId="0573BAF3" w14:textId="1518AA25"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Lo dicho vale, desde luego, en casos en que ello se produzca a partir de una vinculación de una entidad relevante entre las distintas violaciones, como puede suceder, por ejemplo, si ambas son consecuencia directa del mismo acto o la inobservancia de una obligación positiva incumple normas diversas (así, por ejemplo, puede observarse </w:t>
      </w:r>
      <w:r w:rsidRPr="00DB01B1">
        <w:rPr>
          <w:rFonts w:ascii="Verdana" w:hAnsi="Verdana"/>
          <w:sz w:val="16"/>
          <w:szCs w:val="16"/>
        </w:rPr>
        <w:t>en el párr. 20</w:t>
      </w:r>
      <w:r>
        <w:rPr>
          <w:rFonts w:ascii="Verdana" w:hAnsi="Verdana"/>
          <w:sz w:val="16"/>
          <w:szCs w:val="16"/>
        </w:rPr>
        <w:t>2</w:t>
      </w:r>
      <w:r w:rsidRPr="00DB01B1">
        <w:rPr>
          <w:rFonts w:ascii="Verdana" w:hAnsi="Verdana"/>
          <w:sz w:val="16"/>
          <w:szCs w:val="16"/>
        </w:rPr>
        <w:t xml:space="preserve"> de la Sentencia:</w:t>
      </w:r>
      <w:r w:rsidRPr="002F649F">
        <w:rPr>
          <w:rFonts w:ascii="Verdana" w:hAnsi="Verdana"/>
          <w:sz w:val="16"/>
          <w:szCs w:val="16"/>
        </w:rPr>
        <w:t xml:space="preserve"> “</w:t>
      </w:r>
      <w:r w:rsidRPr="002F649F">
        <w:rPr>
          <w:rFonts w:ascii="Verdana" w:hAnsi="Verdana"/>
          <w:sz w:val="16"/>
          <w:szCs w:val="16"/>
          <w:lang w:val="es-CR"/>
        </w:rPr>
        <w:t xml:space="preserve">la Corte concluye que el Estado incumplió el deber de prevenir la violación del derecho a la vida en perjuicio de Ana Teresa </w:t>
      </w:r>
      <w:proofErr w:type="spellStart"/>
      <w:r w:rsidRPr="002F649F">
        <w:rPr>
          <w:rFonts w:ascii="Verdana" w:hAnsi="Verdana"/>
          <w:sz w:val="16"/>
          <w:szCs w:val="16"/>
          <w:lang w:val="es-CR"/>
        </w:rPr>
        <w:t>Yarce</w:t>
      </w:r>
      <w:proofErr w:type="spellEnd"/>
      <w:r w:rsidRPr="002F649F">
        <w:rPr>
          <w:rFonts w:ascii="Verdana" w:hAnsi="Verdana"/>
          <w:sz w:val="16"/>
          <w:szCs w:val="16"/>
          <w:lang w:val="es-CR"/>
        </w:rPr>
        <w:t xml:space="preserve">, en violación del artículo 4.1 de la Convención Americana, en relación con su artículo 1.1 y con la obligación de actuar con debida diligencia para prevenir la violencia contra la mujer establecida en el artículo 7.b) de la Convención de Belém do Pará. También el Estado violó el derecho a la integridad personal consagrado en el artículo </w:t>
      </w:r>
      <w:r w:rsidRPr="002F649F">
        <w:rPr>
          <w:rFonts w:ascii="Verdana" w:hAnsi="Verdana"/>
          <w:sz w:val="16"/>
          <w:szCs w:val="16"/>
        </w:rPr>
        <w:t xml:space="preserve">5.1 de la Convención Americana, en relación con su artículo 1.1 de la Convención, en perjuicio de los […] familiares de Ana Teresa </w:t>
      </w:r>
      <w:proofErr w:type="spellStart"/>
      <w:r w:rsidRPr="002F649F">
        <w:rPr>
          <w:rFonts w:ascii="Verdana" w:hAnsi="Verdana"/>
          <w:sz w:val="16"/>
          <w:szCs w:val="16"/>
        </w:rPr>
        <w:t>Yarce</w:t>
      </w:r>
      <w:proofErr w:type="spellEnd"/>
      <w:r w:rsidRPr="002F649F">
        <w:rPr>
          <w:rFonts w:ascii="Verdana" w:hAnsi="Verdana"/>
          <w:sz w:val="16"/>
          <w:szCs w:val="16"/>
        </w:rPr>
        <w:t>”). También cuando el acto violatorio tenga por fin a lesionar bienes de distintos derechos (Así, el Tribunal ha determinado, por ejemplo: “</w:t>
      </w:r>
      <w:r w:rsidRPr="002F649F">
        <w:rPr>
          <w:rFonts w:ascii="Verdana" w:hAnsi="Verdana"/>
          <w:snapToGrid w:val="0"/>
          <w:sz w:val="16"/>
          <w:szCs w:val="16"/>
        </w:rPr>
        <w:t xml:space="preserve">la Corte dio por demostrado que al menos un agente del Estado participó en los hechos que terminaron con la vida de la señora Blanca Jeannette </w:t>
      </w:r>
      <w:proofErr w:type="spellStart"/>
      <w:r w:rsidRPr="002F649F">
        <w:rPr>
          <w:rFonts w:ascii="Verdana" w:hAnsi="Verdana"/>
          <w:snapToGrid w:val="0"/>
          <w:sz w:val="16"/>
          <w:szCs w:val="16"/>
        </w:rPr>
        <w:t>Kawas</w:t>
      </w:r>
      <w:proofErr w:type="spellEnd"/>
      <w:r w:rsidRPr="002F649F">
        <w:rPr>
          <w:rFonts w:ascii="Verdana" w:hAnsi="Verdana"/>
          <w:snapToGrid w:val="0"/>
          <w:sz w:val="16"/>
          <w:szCs w:val="16"/>
        </w:rPr>
        <w:t xml:space="preserve"> Fernández y que </w:t>
      </w:r>
      <w:r w:rsidRPr="002F649F">
        <w:rPr>
          <w:rFonts w:ascii="Verdana" w:hAnsi="Verdana"/>
          <w:i/>
          <w:snapToGrid w:val="0"/>
          <w:sz w:val="16"/>
          <w:szCs w:val="16"/>
        </w:rPr>
        <w:t>dichos actos estuvieron motivados en el trabajo de defensa del medio ambiente</w:t>
      </w:r>
      <w:r w:rsidRPr="002F649F">
        <w:rPr>
          <w:rFonts w:ascii="Verdana" w:hAnsi="Verdana"/>
          <w:snapToGrid w:val="0"/>
          <w:sz w:val="16"/>
          <w:szCs w:val="16"/>
        </w:rPr>
        <w:t xml:space="preserve"> realizado por la señora </w:t>
      </w:r>
      <w:proofErr w:type="spellStart"/>
      <w:r w:rsidRPr="002F649F">
        <w:rPr>
          <w:rFonts w:ascii="Verdana" w:hAnsi="Verdana"/>
          <w:snapToGrid w:val="0"/>
          <w:sz w:val="16"/>
          <w:szCs w:val="16"/>
        </w:rPr>
        <w:t>Kawas</w:t>
      </w:r>
      <w:proofErr w:type="spellEnd"/>
      <w:r w:rsidRPr="002F649F">
        <w:rPr>
          <w:rFonts w:ascii="Verdana" w:hAnsi="Verdana"/>
          <w:snapToGrid w:val="0"/>
          <w:sz w:val="16"/>
          <w:szCs w:val="16"/>
        </w:rPr>
        <w:t xml:space="preserve"> Fernández […]. Este Tribunal considera que s</w:t>
      </w:r>
      <w:r w:rsidRPr="002F649F">
        <w:rPr>
          <w:rFonts w:ascii="Verdana" w:hAnsi="Verdana"/>
          <w:i/>
          <w:snapToGrid w:val="0"/>
          <w:sz w:val="16"/>
          <w:szCs w:val="16"/>
        </w:rPr>
        <w:t>u muerte, de manera evidente, resultó en una privación de su derecho a asociarse</w:t>
      </w:r>
      <w:r>
        <w:rPr>
          <w:rFonts w:ascii="Verdana" w:hAnsi="Verdana"/>
          <w:i/>
          <w:snapToGrid w:val="0"/>
          <w:sz w:val="16"/>
          <w:szCs w:val="16"/>
        </w:rPr>
        <w:t xml:space="preserve"> libremente”. (Énfasis añadido). </w:t>
      </w:r>
      <w:r w:rsidRPr="00EC6874">
        <w:rPr>
          <w:rFonts w:ascii="Verdana" w:hAnsi="Verdana"/>
          <w:snapToGrid w:val="0"/>
          <w:sz w:val="16"/>
          <w:szCs w:val="16"/>
        </w:rPr>
        <w:t>Corte IDH.</w:t>
      </w:r>
      <w:r>
        <w:rPr>
          <w:rFonts w:ascii="Verdana" w:hAnsi="Verdana"/>
          <w:i/>
          <w:snapToGrid w:val="0"/>
          <w:sz w:val="16"/>
          <w:szCs w:val="16"/>
        </w:rPr>
        <w:t xml:space="preserve"> </w:t>
      </w:r>
      <w:r w:rsidRPr="002F649F">
        <w:rPr>
          <w:rFonts w:ascii="Verdana" w:hAnsi="Verdana"/>
          <w:i/>
          <w:snapToGrid w:val="0"/>
          <w:sz w:val="16"/>
          <w:szCs w:val="16"/>
        </w:rPr>
        <w:t xml:space="preserve">Caso </w:t>
      </w:r>
      <w:proofErr w:type="spellStart"/>
      <w:r w:rsidRPr="002F649F">
        <w:rPr>
          <w:rFonts w:ascii="Verdana" w:hAnsi="Verdana"/>
          <w:i/>
          <w:snapToGrid w:val="0"/>
          <w:sz w:val="16"/>
          <w:szCs w:val="16"/>
        </w:rPr>
        <w:t>Kawas</w:t>
      </w:r>
      <w:proofErr w:type="spellEnd"/>
      <w:r w:rsidRPr="002F649F">
        <w:rPr>
          <w:rFonts w:ascii="Verdana" w:hAnsi="Verdana"/>
          <w:i/>
          <w:snapToGrid w:val="0"/>
          <w:sz w:val="16"/>
          <w:szCs w:val="16"/>
        </w:rPr>
        <w:t xml:space="preserve"> Fernández Vs. Honduras. Fondo, Reparaciones y Costas. </w:t>
      </w:r>
      <w:r w:rsidRPr="002F649F">
        <w:rPr>
          <w:rFonts w:ascii="Verdana" w:hAnsi="Verdana"/>
          <w:snapToGrid w:val="0"/>
          <w:sz w:val="16"/>
          <w:szCs w:val="16"/>
        </w:rPr>
        <w:t>Sentencia de 3 de abril de 2</w:t>
      </w:r>
      <w:r>
        <w:rPr>
          <w:rFonts w:ascii="Verdana" w:hAnsi="Verdana"/>
          <w:snapToGrid w:val="0"/>
          <w:sz w:val="16"/>
          <w:szCs w:val="16"/>
        </w:rPr>
        <w:t>009. Serie C No. 196, párr. 152</w:t>
      </w:r>
      <w:r w:rsidRPr="002F649F">
        <w:rPr>
          <w:rFonts w:ascii="Verdana" w:hAnsi="Verdana"/>
          <w:snapToGrid w:val="0"/>
          <w:sz w:val="16"/>
          <w:szCs w:val="16"/>
        </w:rPr>
        <w:t>.</w:t>
      </w:r>
      <w:r w:rsidRPr="002F649F">
        <w:rPr>
          <w:rFonts w:ascii="Verdana" w:hAnsi="Verdana"/>
          <w:sz w:val="16"/>
          <w:szCs w:val="16"/>
        </w:rPr>
        <w:t xml:space="preserve"> Un caso distinto es que la violación es</w:t>
      </w:r>
      <w:r>
        <w:rPr>
          <w:rFonts w:ascii="Verdana" w:hAnsi="Verdana"/>
          <w:sz w:val="16"/>
          <w:szCs w:val="16"/>
        </w:rPr>
        <w:t>pecífica a un derecho genere, só</w:t>
      </w:r>
      <w:r w:rsidRPr="002F649F">
        <w:rPr>
          <w:rFonts w:ascii="Verdana" w:hAnsi="Verdana"/>
          <w:sz w:val="16"/>
          <w:szCs w:val="16"/>
        </w:rPr>
        <w:t xml:space="preserve">lo por una mera derivación causal mediata, una lesión en bienes tutelados por otros derechos. Así, es evidente, por ejemplo, que la muerte de una persona imposibilita a la misma de continuar gozando o ejerciendo de cualquier derecho, además del derecho a la vida. Esto no lleva a que en caso en que una muerte pueda considerarse una violación al derecho a la vida pueda, por esas sola circunstancias, declararse vulnerado cualquier otro derecho.  </w:t>
      </w:r>
    </w:p>
  </w:footnote>
  <w:footnote w:id="88">
    <w:p w14:paraId="1972582C" w14:textId="77777777" w:rsidR="0046241E" w:rsidRDefault="0046241E" w:rsidP="002F649F">
      <w:pPr>
        <w:pStyle w:val="FootnoteText"/>
        <w:jc w:val="both"/>
        <w:rPr>
          <w:rFonts w:ascii="Verdana" w:hAnsi="Verdana"/>
          <w:sz w:val="16"/>
          <w:szCs w:val="16"/>
        </w:rPr>
      </w:pPr>
    </w:p>
    <w:p w14:paraId="42F76260" w14:textId="4F0218D1" w:rsidR="0046241E" w:rsidRPr="002B4780"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Esto, como ya he expresado, acontece en cuanto a la competencia de la Corte para determinar </w:t>
      </w:r>
      <w:r w:rsidRPr="002B4780">
        <w:rPr>
          <w:rFonts w:ascii="Verdana" w:hAnsi="Verdana"/>
          <w:sz w:val="16"/>
          <w:szCs w:val="16"/>
        </w:rPr>
        <w:t xml:space="preserve">violaciones al derecho a la propiedad, recogido en el artículo 21 de la Convención y el derecho a la vivienda, receptado en su artículo 26. </w:t>
      </w:r>
    </w:p>
  </w:footnote>
  <w:footnote w:id="89">
    <w:p w14:paraId="5F357768" w14:textId="77777777" w:rsidR="0046241E" w:rsidRPr="002B4780" w:rsidRDefault="0046241E">
      <w:pPr>
        <w:pStyle w:val="FootnoteText"/>
        <w:rPr>
          <w:rFonts w:ascii="Verdana" w:hAnsi="Verdana"/>
        </w:rPr>
      </w:pPr>
    </w:p>
    <w:p w14:paraId="5FD556CC" w14:textId="31F77975" w:rsidR="0046241E" w:rsidRPr="002B4780" w:rsidRDefault="0046241E" w:rsidP="002B4780">
      <w:pPr>
        <w:pStyle w:val="FootnoteText"/>
        <w:jc w:val="both"/>
        <w:rPr>
          <w:rFonts w:ascii="Verdana" w:hAnsi="Verdana"/>
          <w:lang w:val="es-ES_tradnl"/>
        </w:rPr>
      </w:pPr>
      <w:r w:rsidRPr="00751774">
        <w:rPr>
          <w:rStyle w:val="FootnoteReference"/>
          <w:rFonts w:ascii="Verdana" w:hAnsi="Verdana"/>
          <w:sz w:val="16"/>
          <w:szCs w:val="16"/>
        </w:rPr>
        <w:footnoteRef/>
      </w:r>
      <w:r w:rsidRPr="00751774">
        <w:rPr>
          <w:rFonts w:ascii="Verdana" w:hAnsi="Verdana"/>
          <w:sz w:val="16"/>
          <w:szCs w:val="16"/>
        </w:rPr>
        <w:t xml:space="preserve"> </w:t>
      </w:r>
      <w:r w:rsidRPr="00751774">
        <w:rPr>
          <w:rFonts w:ascii="Verdana" w:hAnsi="Verdana"/>
          <w:sz w:val="16"/>
          <w:szCs w:val="16"/>
        </w:rPr>
        <w:tab/>
      </w:r>
      <w:r w:rsidRPr="00751774">
        <w:rPr>
          <w:rFonts w:ascii="Verdana" w:hAnsi="Verdana"/>
          <w:i/>
          <w:sz w:val="16"/>
          <w:szCs w:val="16"/>
        </w:rPr>
        <w:t>Cfr.</w:t>
      </w:r>
      <w:r w:rsidRPr="00751774">
        <w:rPr>
          <w:rFonts w:ascii="Verdana" w:hAnsi="Verdana"/>
          <w:sz w:val="16"/>
          <w:szCs w:val="16"/>
        </w:rPr>
        <w:t xml:space="preserve"> Corte IDH. </w:t>
      </w:r>
      <w:r w:rsidRPr="00751774">
        <w:rPr>
          <w:rFonts w:ascii="Verdana" w:hAnsi="Verdana"/>
          <w:i/>
          <w:sz w:val="16"/>
          <w:szCs w:val="16"/>
        </w:rPr>
        <w:t xml:space="preserve">Caso </w:t>
      </w:r>
      <w:proofErr w:type="spellStart"/>
      <w:r w:rsidRPr="00751774">
        <w:rPr>
          <w:rFonts w:ascii="Verdana" w:hAnsi="Verdana"/>
          <w:i/>
          <w:sz w:val="16"/>
          <w:szCs w:val="16"/>
        </w:rPr>
        <w:t>Yarce</w:t>
      </w:r>
      <w:proofErr w:type="spellEnd"/>
      <w:r w:rsidRPr="00751774">
        <w:rPr>
          <w:rFonts w:ascii="Verdana" w:hAnsi="Verdana"/>
          <w:i/>
          <w:sz w:val="16"/>
          <w:szCs w:val="16"/>
        </w:rPr>
        <w:t xml:space="preserve"> y otras Vs. Colombia. Excepción Preliminar, Fondo, Reparaciones y Costas.</w:t>
      </w:r>
      <w:r w:rsidRPr="00751774">
        <w:rPr>
          <w:rFonts w:ascii="Verdana" w:hAnsi="Verdana"/>
          <w:sz w:val="16"/>
          <w:szCs w:val="16"/>
        </w:rPr>
        <w:t xml:space="preserve"> S</w:t>
      </w:r>
      <w:r>
        <w:rPr>
          <w:rFonts w:ascii="Verdana" w:hAnsi="Verdana"/>
          <w:sz w:val="16"/>
          <w:szCs w:val="16"/>
        </w:rPr>
        <w:t xml:space="preserve">entencia de 22 de noviembre de </w:t>
      </w:r>
      <w:r w:rsidRPr="00751774">
        <w:rPr>
          <w:rFonts w:ascii="Verdana" w:hAnsi="Verdana"/>
          <w:sz w:val="16"/>
          <w:szCs w:val="16"/>
        </w:rPr>
        <w:t xml:space="preserve">2016, Serie C </w:t>
      </w:r>
      <w:r>
        <w:rPr>
          <w:rFonts w:ascii="Verdana" w:hAnsi="Verdana"/>
          <w:sz w:val="16"/>
          <w:szCs w:val="16"/>
        </w:rPr>
        <w:t>No. 325</w:t>
      </w:r>
      <w:r w:rsidRPr="008B7704">
        <w:rPr>
          <w:rFonts w:ascii="Verdana" w:hAnsi="Verdana"/>
          <w:sz w:val="16"/>
          <w:szCs w:val="16"/>
        </w:rPr>
        <w:t>,</w:t>
      </w:r>
      <w:r w:rsidRPr="00751774">
        <w:rPr>
          <w:rFonts w:ascii="Verdana" w:hAnsi="Verdana"/>
          <w:sz w:val="16"/>
          <w:szCs w:val="16"/>
        </w:rPr>
        <w:t xml:space="preserve"> </w:t>
      </w:r>
      <w:proofErr w:type="spellStart"/>
      <w:r w:rsidRPr="00DB01B1">
        <w:rPr>
          <w:rFonts w:ascii="Verdana" w:hAnsi="Verdana"/>
          <w:sz w:val="16"/>
          <w:szCs w:val="16"/>
        </w:rPr>
        <w:t>párrs</w:t>
      </w:r>
      <w:proofErr w:type="spellEnd"/>
      <w:r w:rsidRPr="00DB01B1">
        <w:rPr>
          <w:rFonts w:ascii="Verdana" w:hAnsi="Verdana"/>
          <w:sz w:val="16"/>
          <w:szCs w:val="16"/>
        </w:rPr>
        <w:t>. 16</w:t>
      </w:r>
      <w:r>
        <w:rPr>
          <w:rFonts w:ascii="Verdana" w:hAnsi="Verdana"/>
          <w:sz w:val="16"/>
          <w:szCs w:val="16"/>
        </w:rPr>
        <w:t>2</w:t>
      </w:r>
      <w:r w:rsidRPr="00DB01B1">
        <w:rPr>
          <w:rFonts w:ascii="Verdana" w:hAnsi="Verdana"/>
          <w:sz w:val="16"/>
          <w:szCs w:val="16"/>
        </w:rPr>
        <w:t xml:space="preserve"> a 16</w:t>
      </w:r>
      <w:r>
        <w:rPr>
          <w:rFonts w:ascii="Verdana" w:hAnsi="Verdana"/>
          <w:sz w:val="16"/>
          <w:szCs w:val="16"/>
        </w:rPr>
        <w:t>4</w:t>
      </w:r>
      <w:r w:rsidRPr="00DB01B1">
        <w:rPr>
          <w:rFonts w:ascii="Verdana" w:hAnsi="Verdana"/>
          <w:sz w:val="16"/>
          <w:szCs w:val="16"/>
        </w:rPr>
        <w:t>.</w:t>
      </w:r>
    </w:p>
  </w:footnote>
  <w:footnote w:id="90">
    <w:p w14:paraId="52AD5598" w14:textId="77777777" w:rsidR="0046241E" w:rsidRPr="002B4780" w:rsidRDefault="0046241E" w:rsidP="002F649F">
      <w:pPr>
        <w:pStyle w:val="FootnoteText"/>
        <w:jc w:val="both"/>
        <w:rPr>
          <w:rFonts w:ascii="Verdana" w:hAnsi="Verdana"/>
          <w:sz w:val="16"/>
          <w:szCs w:val="16"/>
        </w:rPr>
      </w:pPr>
    </w:p>
    <w:p w14:paraId="2785C748" w14:textId="2D02F8A0" w:rsidR="0046241E" w:rsidRDefault="0046241E" w:rsidP="002F649F">
      <w:pPr>
        <w:pStyle w:val="FootnoteText"/>
        <w:jc w:val="both"/>
        <w:rPr>
          <w:rStyle w:val="Strong"/>
          <w:rFonts w:ascii="Verdana" w:hAnsi="Verdana"/>
          <w:b w:val="0"/>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i/>
          <w:sz w:val="16"/>
          <w:szCs w:val="16"/>
        </w:rPr>
        <w:t>Cfr.</w:t>
      </w:r>
      <w:r w:rsidRPr="002F649F">
        <w:rPr>
          <w:rFonts w:ascii="Verdana" w:hAnsi="Verdana"/>
          <w:b/>
          <w:sz w:val="16"/>
          <w:szCs w:val="16"/>
        </w:rPr>
        <w:t xml:space="preserve"> </w:t>
      </w:r>
      <w:r w:rsidRPr="002F649F">
        <w:rPr>
          <w:rFonts w:ascii="Verdana" w:hAnsi="Verdana"/>
          <w:sz w:val="16"/>
          <w:szCs w:val="16"/>
        </w:rPr>
        <w:t>Corte IDH.</w:t>
      </w:r>
      <w:r w:rsidRPr="002F649F">
        <w:rPr>
          <w:rFonts w:ascii="Verdana" w:hAnsi="Verdana"/>
          <w:b/>
          <w:sz w:val="16"/>
          <w:szCs w:val="16"/>
        </w:rPr>
        <w:t xml:space="preserve"> </w:t>
      </w:r>
      <w:r w:rsidRPr="002F649F">
        <w:rPr>
          <w:rStyle w:val="Strong"/>
          <w:rFonts w:ascii="Verdana" w:hAnsi="Verdana"/>
          <w:b w:val="0"/>
          <w:i/>
          <w:sz w:val="16"/>
          <w:szCs w:val="16"/>
        </w:rPr>
        <w:t>Caso Tenorio Roca y otros Vs. Perú. Excepciones Preliminares, Fondo, Reparaciones y Costas</w:t>
      </w:r>
      <w:r w:rsidRPr="002F649F">
        <w:rPr>
          <w:rStyle w:val="Strong"/>
          <w:rFonts w:ascii="Verdana" w:hAnsi="Verdana"/>
          <w:b w:val="0"/>
          <w:sz w:val="16"/>
          <w:szCs w:val="16"/>
        </w:rPr>
        <w:t xml:space="preserve">. Sentencia de 22 de junio de 2016. Serie C No. 314, párr. 141. </w:t>
      </w:r>
    </w:p>
    <w:p w14:paraId="30E44223" w14:textId="77777777" w:rsidR="0046241E" w:rsidRPr="002F649F" w:rsidRDefault="0046241E" w:rsidP="002F649F">
      <w:pPr>
        <w:pStyle w:val="FootnoteText"/>
        <w:jc w:val="both"/>
        <w:rPr>
          <w:rFonts w:ascii="Verdana" w:hAnsi="Verdana"/>
          <w:b/>
          <w:sz w:val="16"/>
          <w:szCs w:val="16"/>
        </w:rPr>
      </w:pPr>
    </w:p>
  </w:footnote>
  <w:footnote w:id="91">
    <w:p w14:paraId="07603E1F" w14:textId="14B30496" w:rsidR="0046241E" w:rsidRDefault="0046241E" w:rsidP="002B4780">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i/>
          <w:sz w:val="16"/>
          <w:szCs w:val="16"/>
        </w:rPr>
        <w:t>Cfr.</w:t>
      </w:r>
      <w:r w:rsidRPr="002F649F">
        <w:rPr>
          <w:rFonts w:ascii="Verdana" w:hAnsi="Verdana"/>
          <w:sz w:val="16"/>
          <w:szCs w:val="16"/>
        </w:rPr>
        <w:t xml:space="preserve"> Corte IDH. </w:t>
      </w:r>
      <w:r w:rsidRPr="002F649F">
        <w:rPr>
          <w:rFonts w:ascii="Verdana" w:hAnsi="Verdana"/>
          <w:i/>
          <w:sz w:val="16"/>
          <w:szCs w:val="16"/>
        </w:rPr>
        <w:t xml:space="preserve">Caso </w:t>
      </w:r>
      <w:proofErr w:type="spellStart"/>
      <w:r w:rsidRPr="002F649F">
        <w:rPr>
          <w:rFonts w:ascii="Verdana" w:hAnsi="Verdana"/>
          <w:i/>
          <w:sz w:val="16"/>
          <w:szCs w:val="16"/>
        </w:rPr>
        <w:t>Yarce</w:t>
      </w:r>
      <w:proofErr w:type="spellEnd"/>
      <w:r w:rsidRPr="002F649F">
        <w:rPr>
          <w:rFonts w:ascii="Verdana" w:hAnsi="Verdana"/>
          <w:i/>
          <w:sz w:val="16"/>
          <w:szCs w:val="16"/>
        </w:rPr>
        <w:t xml:space="preserve"> y otras Vs. Colombia. Excepción Preliminar, Fondo, Reparaciones y Costas.</w:t>
      </w:r>
      <w:r w:rsidRPr="002F649F">
        <w:rPr>
          <w:rFonts w:ascii="Verdana" w:hAnsi="Verdana"/>
          <w:sz w:val="16"/>
          <w:szCs w:val="16"/>
        </w:rPr>
        <w:t xml:space="preserve"> Sentencia de 22 de noviemb</w:t>
      </w:r>
      <w:r>
        <w:rPr>
          <w:rFonts w:ascii="Verdana" w:hAnsi="Verdana"/>
          <w:sz w:val="16"/>
          <w:szCs w:val="16"/>
        </w:rPr>
        <w:t>re de</w:t>
      </w:r>
      <w:r w:rsidRPr="002F649F">
        <w:rPr>
          <w:rFonts w:ascii="Verdana" w:hAnsi="Verdana"/>
          <w:sz w:val="16"/>
          <w:szCs w:val="16"/>
        </w:rPr>
        <w:t xml:space="preserve"> 2016, Serie C </w:t>
      </w:r>
      <w:r>
        <w:rPr>
          <w:rFonts w:ascii="Verdana" w:hAnsi="Verdana"/>
          <w:sz w:val="16"/>
          <w:szCs w:val="16"/>
        </w:rPr>
        <w:t>No. 325</w:t>
      </w:r>
      <w:r w:rsidRPr="002F649F">
        <w:rPr>
          <w:rFonts w:ascii="Verdana" w:hAnsi="Verdana"/>
          <w:sz w:val="16"/>
          <w:szCs w:val="16"/>
        </w:rPr>
        <w:t xml:space="preserve">, </w:t>
      </w:r>
      <w:proofErr w:type="spellStart"/>
      <w:r w:rsidRPr="00DB01B1">
        <w:rPr>
          <w:rFonts w:ascii="Verdana" w:hAnsi="Verdana"/>
          <w:sz w:val="16"/>
          <w:szCs w:val="16"/>
        </w:rPr>
        <w:t>párrs</w:t>
      </w:r>
      <w:proofErr w:type="spellEnd"/>
      <w:r w:rsidRPr="00DB01B1">
        <w:rPr>
          <w:rFonts w:ascii="Verdana" w:hAnsi="Verdana"/>
          <w:sz w:val="16"/>
          <w:szCs w:val="16"/>
        </w:rPr>
        <w:t>. 25</w:t>
      </w:r>
      <w:r>
        <w:rPr>
          <w:rFonts w:ascii="Verdana" w:hAnsi="Verdana"/>
          <w:sz w:val="16"/>
          <w:szCs w:val="16"/>
        </w:rPr>
        <w:t>7</w:t>
      </w:r>
      <w:r w:rsidRPr="00DB01B1">
        <w:rPr>
          <w:rFonts w:ascii="Verdana" w:hAnsi="Verdana"/>
          <w:sz w:val="16"/>
          <w:szCs w:val="16"/>
        </w:rPr>
        <w:t xml:space="preserve"> a 26</w:t>
      </w:r>
      <w:r>
        <w:rPr>
          <w:rFonts w:ascii="Verdana" w:hAnsi="Verdana"/>
          <w:sz w:val="16"/>
          <w:szCs w:val="16"/>
        </w:rPr>
        <w:t>2</w:t>
      </w:r>
      <w:r w:rsidRPr="00DB01B1">
        <w:rPr>
          <w:rFonts w:ascii="Verdana" w:hAnsi="Verdana"/>
          <w:sz w:val="16"/>
          <w:szCs w:val="16"/>
        </w:rPr>
        <w:t>.</w:t>
      </w:r>
    </w:p>
    <w:p w14:paraId="1B36460C" w14:textId="77777777" w:rsidR="0046241E" w:rsidRPr="002F649F" w:rsidRDefault="0046241E" w:rsidP="002B4780">
      <w:pPr>
        <w:pStyle w:val="FootnoteText"/>
        <w:jc w:val="both"/>
        <w:rPr>
          <w:rFonts w:ascii="Verdana" w:hAnsi="Verdana"/>
          <w:sz w:val="16"/>
          <w:szCs w:val="16"/>
          <w:lang w:val="es-ES_tradnl"/>
        </w:rPr>
      </w:pPr>
    </w:p>
  </w:footnote>
  <w:footnote w:id="92">
    <w:p w14:paraId="364F0815" w14:textId="472AF844"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Pr>
          <w:rFonts w:ascii="Verdana" w:hAnsi="Verdana"/>
          <w:sz w:val="16"/>
          <w:szCs w:val="16"/>
        </w:rPr>
        <w:t xml:space="preserve"> </w:t>
      </w:r>
      <w:r>
        <w:rPr>
          <w:rFonts w:ascii="Verdana" w:hAnsi="Verdana"/>
          <w:sz w:val="16"/>
          <w:szCs w:val="16"/>
        </w:rPr>
        <w:tab/>
        <w:t>Corte IDH. Voto C</w:t>
      </w:r>
      <w:r w:rsidRPr="002F649F">
        <w:rPr>
          <w:rFonts w:ascii="Verdana" w:hAnsi="Verdana"/>
          <w:sz w:val="16"/>
          <w:szCs w:val="16"/>
        </w:rPr>
        <w:t xml:space="preserve">oncurrente al </w:t>
      </w:r>
      <w:r w:rsidRPr="00EC6874">
        <w:rPr>
          <w:rFonts w:ascii="Verdana" w:hAnsi="Verdana"/>
          <w:i/>
          <w:sz w:val="16"/>
          <w:szCs w:val="16"/>
        </w:rPr>
        <w:t xml:space="preserve">Caso Suárez Peralta Vs. Ecuador. </w:t>
      </w:r>
      <w:r w:rsidRPr="002F649F">
        <w:rPr>
          <w:rFonts w:ascii="Verdana" w:hAnsi="Verdana"/>
          <w:i/>
          <w:sz w:val="16"/>
          <w:szCs w:val="16"/>
        </w:rPr>
        <w:t xml:space="preserve">Excepciones Preliminares, Fondo, Reparaciones y Costas. </w:t>
      </w:r>
      <w:r w:rsidRPr="002F649F">
        <w:rPr>
          <w:rFonts w:ascii="Verdana" w:hAnsi="Verdana"/>
          <w:sz w:val="16"/>
          <w:szCs w:val="16"/>
        </w:rPr>
        <w:t>Sentencia de 21 de mayo de 2013, Serie C No. 261.</w:t>
      </w:r>
    </w:p>
  </w:footnote>
  <w:footnote w:id="93">
    <w:p w14:paraId="0C46BC11" w14:textId="77777777" w:rsidR="0046241E" w:rsidRDefault="0046241E" w:rsidP="002F649F">
      <w:pPr>
        <w:pStyle w:val="FootnoteText"/>
        <w:jc w:val="both"/>
        <w:rPr>
          <w:rFonts w:ascii="Verdana" w:hAnsi="Verdana"/>
          <w:sz w:val="16"/>
          <w:szCs w:val="16"/>
        </w:rPr>
      </w:pPr>
    </w:p>
    <w:p w14:paraId="10F5DB68" w14:textId="4F472A4C" w:rsidR="0046241E" w:rsidRPr="00EC6874"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Pr>
          <w:rFonts w:ascii="Verdana" w:hAnsi="Verdana"/>
          <w:sz w:val="16"/>
          <w:szCs w:val="16"/>
        </w:rPr>
        <w:t xml:space="preserve"> </w:t>
      </w:r>
      <w:r>
        <w:rPr>
          <w:rFonts w:ascii="Verdana" w:hAnsi="Verdana"/>
          <w:sz w:val="16"/>
          <w:szCs w:val="16"/>
        </w:rPr>
        <w:tab/>
        <w:t>Voto C</w:t>
      </w:r>
      <w:r w:rsidRPr="002F649F">
        <w:rPr>
          <w:rFonts w:ascii="Verdana" w:hAnsi="Verdana"/>
          <w:sz w:val="16"/>
          <w:szCs w:val="16"/>
        </w:rPr>
        <w:t xml:space="preserve">oncurrente respecto de la Sentencia de la Corte en el </w:t>
      </w:r>
      <w:r w:rsidRPr="002F649F">
        <w:rPr>
          <w:rFonts w:ascii="Verdana" w:hAnsi="Verdana"/>
          <w:i/>
          <w:sz w:val="16"/>
          <w:szCs w:val="16"/>
        </w:rPr>
        <w:t>Caso Suárez Peralta Vs. Ecuador</w:t>
      </w:r>
      <w:r>
        <w:rPr>
          <w:rFonts w:ascii="Verdana" w:hAnsi="Verdana"/>
          <w:sz w:val="16"/>
          <w:szCs w:val="16"/>
        </w:rPr>
        <w:t xml:space="preserve">. </w:t>
      </w:r>
      <w:r w:rsidRPr="002F649F">
        <w:rPr>
          <w:rFonts w:ascii="Verdana" w:hAnsi="Verdana"/>
          <w:i/>
          <w:sz w:val="16"/>
          <w:szCs w:val="16"/>
        </w:rPr>
        <w:t>Excepciones Preliminares, Fondo, Reparaciones y Costas.</w:t>
      </w:r>
      <w:r w:rsidRPr="002F649F">
        <w:rPr>
          <w:rFonts w:ascii="Verdana" w:hAnsi="Verdana"/>
          <w:sz w:val="16"/>
          <w:szCs w:val="16"/>
        </w:rPr>
        <w:t xml:space="preserve"> Sentencia de 21 d</w:t>
      </w:r>
      <w:r>
        <w:rPr>
          <w:rFonts w:ascii="Verdana" w:hAnsi="Verdana"/>
          <w:sz w:val="16"/>
          <w:szCs w:val="16"/>
        </w:rPr>
        <w:t>e mayo de 2013. Serie C No. 261</w:t>
      </w:r>
      <w:r w:rsidRPr="002F649F">
        <w:rPr>
          <w:rFonts w:ascii="Verdana" w:hAnsi="Verdana"/>
          <w:sz w:val="16"/>
          <w:szCs w:val="16"/>
        </w:rPr>
        <w:t xml:space="preserve">, </w:t>
      </w:r>
      <w:proofErr w:type="spellStart"/>
      <w:r w:rsidRPr="002F649F">
        <w:rPr>
          <w:rFonts w:ascii="Verdana" w:hAnsi="Verdana"/>
          <w:sz w:val="16"/>
          <w:szCs w:val="16"/>
        </w:rPr>
        <w:t>párrs</w:t>
      </w:r>
      <w:proofErr w:type="spellEnd"/>
      <w:r w:rsidRPr="002F649F">
        <w:rPr>
          <w:rFonts w:ascii="Verdana" w:hAnsi="Verdana"/>
          <w:sz w:val="16"/>
          <w:szCs w:val="16"/>
        </w:rPr>
        <w:t xml:space="preserve">. 4 y 35. En la Sentencia sobre el caso </w:t>
      </w:r>
      <w:r w:rsidRPr="002F649F">
        <w:rPr>
          <w:rFonts w:ascii="Verdana" w:hAnsi="Verdana"/>
          <w:i/>
          <w:sz w:val="16"/>
          <w:szCs w:val="16"/>
        </w:rPr>
        <w:t>Acevedo Buendía y otros</w:t>
      </w:r>
      <w:r>
        <w:rPr>
          <w:rFonts w:ascii="Verdana" w:hAnsi="Verdana"/>
          <w:i/>
          <w:sz w:val="16"/>
          <w:szCs w:val="16"/>
        </w:rPr>
        <w:t xml:space="preserve">, </w:t>
      </w:r>
      <w:r>
        <w:rPr>
          <w:rFonts w:ascii="Verdana" w:hAnsi="Verdana"/>
          <w:sz w:val="16"/>
          <w:szCs w:val="16"/>
        </w:rPr>
        <w:t>la Corte IDH dijo</w:t>
      </w:r>
      <w:r w:rsidRPr="002F649F">
        <w:rPr>
          <w:rFonts w:ascii="Verdana" w:hAnsi="Verdana"/>
          <w:sz w:val="16"/>
          <w:szCs w:val="16"/>
        </w:rPr>
        <w:t xml:space="preserve"> que</w:t>
      </w:r>
      <w:r w:rsidRPr="002F649F">
        <w:rPr>
          <w:rFonts w:ascii="Verdana" w:hAnsi="Verdana"/>
          <w:i/>
          <w:sz w:val="16"/>
          <w:szCs w:val="16"/>
        </w:rPr>
        <w:t xml:space="preserve"> “</w:t>
      </w:r>
      <w:r w:rsidRPr="002F649F">
        <w:rPr>
          <w:rFonts w:ascii="Verdana" w:hAnsi="Verdana"/>
          <w:sz w:val="16"/>
          <w:szCs w:val="16"/>
        </w:rPr>
        <w:t>resulta pertinente observar que si bien el artículo 26 se encuentra en el capítulo III de la Convención, titulado ‘Derechos Económicos, Sociales y Culturales’, se ubica, también, en la Parte I de dicho instrumento, titulado ‘Deberes de los Estados y Derechos Protegidos’ y, por ende, está sujeto a las obligaciones generales contenidas en los artículos 1.1 y 2 señalados en el capítulo I (titulado ‘Enumeración de Deberes’), así como lo están los artículos 3 al 25 señalados en el capítulo II (titulado ‘Derechos Civiles y Políticos’)”.</w:t>
      </w:r>
      <w:r>
        <w:rPr>
          <w:rFonts w:ascii="Verdana" w:hAnsi="Verdana"/>
          <w:sz w:val="16"/>
          <w:szCs w:val="16"/>
        </w:rPr>
        <w:t xml:space="preserve"> Corte IDH. </w:t>
      </w:r>
      <w:r w:rsidRPr="00EC6874">
        <w:rPr>
          <w:rFonts w:ascii="Verdana" w:hAnsi="Verdana"/>
          <w:i/>
          <w:sz w:val="16"/>
          <w:szCs w:val="16"/>
        </w:rPr>
        <w:t>Caso Acevedo Buendía y otros (“Cesantes y Jubilados de la Contraloría”) Vs. Perú. Excepción Preliminar, Fondo,</w:t>
      </w:r>
      <w:r w:rsidRPr="002F649F">
        <w:rPr>
          <w:rFonts w:ascii="Verdana" w:hAnsi="Verdana"/>
          <w:i/>
          <w:sz w:val="16"/>
          <w:szCs w:val="16"/>
        </w:rPr>
        <w:t xml:space="preserve"> Reparaciones y Costas. </w:t>
      </w:r>
      <w:r w:rsidRPr="00EC6874">
        <w:rPr>
          <w:rFonts w:ascii="Verdana" w:hAnsi="Verdana"/>
          <w:sz w:val="16"/>
          <w:szCs w:val="16"/>
        </w:rPr>
        <w:t>Sentencia de 1 de julio de 2009. Serie C No. 198, párr. 100.</w:t>
      </w:r>
    </w:p>
    <w:p w14:paraId="42EEED16" w14:textId="77777777" w:rsidR="0046241E" w:rsidRPr="002F649F" w:rsidRDefault="0046241E" w:rsidP="002F649F">
      <w:pPr>
        <w:pStyle w:val="FootnoteText"/>
        <w:jc w:val="both"/>
        <w:rPr>
          <w:rFonts w:ascii="Verdana" w:hAnsi="Verdana"/>
          <w:i/>
          <w:sz w:val="16"/>
          <w:szCs w:val="16"/>
        </w:rPr>
      </w:pPr>
    </w:p>
  </w:footnote>
  <w:footnote w:id="94">
    <w:p w14:paraId="1CBA104D" w14:textId="6AA3CA66"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sz w:val="16"/>
          <w:szCs w:val="16"/>
          <w:lang w:val="es-CR"/>
        </w:rPr>
        <w:t xml:space="preserve">Comité DESC. Observación General No. 3. La índole de las obligaciones de los Estados Partes. (párrafo 1 del artículo 2 del Pacto). </w:t>
      </w:r>
      <w:r w:rsidRPr="002F649F">
        <w:rPr>
          <w:rFonts w:ascii="Verdana" w:hAnsi="Verdana"/>
          <w:sz w:val="16"/>
          <w:szCs w:val="16"/>
        </w:rPr>
        <w:t xml:space="preserve">Quinto período de sesiones (1990), </w:t>
      </w:r>
      <w:proofErr w:type="spellStart"/>
      <w:r w:rsidRPr="002F649F">
        <w:rPr>
          <w:rFonts w:ascii="Verdana" w:hAnsi="Verdana"/>
          <w:sz w:val="16"/>
          <w:szCs w:val="16"/>
        </w:rPr>
        <w:t>párrs</w:t>
      </w:r>
      <w:proofErr w:type="spellEnd"/>
      <w:r w:rsidRPr="002F649F">
        <w:rPr>
          <w:rFonts w:ascii="Verdana" w:hAnsi="Verdana"/>
          <w:sz w:val="16"/>
          <w:szCs w:val="16"/>
        </w:rPr>
        <w:t xml:space="preserve">. 1, 2, 9, 10, 11 y 12. </w:t>
      </w:r>
    </w:p>
  </w:footnote>
  <w:footnote w:id="95">
    <w:p w14:paraId="10A98DFA" w14:textId="77777777" w:rsidR="0046241E" w:rsidRDefault="0046241E" w:rsidP="002F649F">
      <w:pPr>
        <w:pStyle w:val="FootnoteText"/>
        <w:jc w:val="both"/>
        <w:rPr>
          <w:rFonts w:ascii="Verdana" w:hAnsi="Verdana"/>
          <w:sz w:val="16"/>
          <w:szCs w:val="16"/>
        </w:rPr>
      </w:pPr>
    </w:p>
    <w:p w14:paraId="6A3F4B29" w14:textId="35D83D1F" w:rsidR="0046241E"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En la Observación General 12 señaló que en relación con “cualquier derecho humano” son atinentes “las obligaciones de respetar, proteger y realizar. A su vez, la obligación de realizar entraña tanto la obligación de facilitar como la obligación de hacer efectivo. La obligación de respetar […] requiere que los Estados no adopten medidas de ningún tipo que tengan por resultado impedir e[l] acceso [al bien protegido por el derecho]. La obligación de proteger requiere que el Estado Parte adopte medidas para velar por que las empresas o los particulares no priven a las personas de [dicho] acceso […]. La obligación de realizar (facilitar) significa que el Estado debe procurar iniciar actividades con el fin de fortalecer el acceso y la utilización por parte de la población de los recursos y medios que aseguren [el goce del derecho]. Por último, cuando un individuo o un grupo sea incapaz, por razones que escapen a su control, de disfrutar el derecho [en cuestión] por los medios a su alcance, los Estados tienen la obligación de realizar (hacer efecti</w:t>
      </w:r>
      <w:r>
        <w:rPr>
          <w:rFonts w:ascii="Verdana" w:hAnsi="Verdana"/>
          <w:sz w:val="16"/>
          <w:szCs w:val="16"/>
        </w:rPr>
        <w:t xml:space="preserve">vo) ese derecho directamente”. </w:t>
      </w:r>
      <w:r w:rsidRPr="00EC6874">
        <w:rPr>
          <w:rFonts w:ascii="Verdana" w:hAnsi="Verdana"/>
          <w:i/>
          <w:sz w:val="16"/>
          <w:szCs w:val="16"/>
        </w:rPr>
        <w:t xml:space="preserve">Cfr. </w:t>
      </w:r>
      <w:r w:rsidRPr="002F649F">
        <w:rPr>
          <w:rFonts w:ascii="Verdana" w:hAnsi="Verdana"/>
          <w:sz w:val="16"/>
          <w:szCs w:val="16"/>
        </w:rPr>
        <w:t>Comité DESC. Observación General No. 12. El derecho a una alimentación adecuada (artículo 11). 20º perio</w:t>
      </w:r>
      <w:r>
        <w:rPr>
          <w:rFonts w:ascii="Verdana" w:hAnsi="Verdana"/>
          <w:sz w:val="16"/>
          <w:szCs w:val="16"/>
        </w:rPr>
        <w:t>do de sesiones (1999), párr. 15</w:t>
      </w:r>
      <w:r w:rsidRPr="002F649F">
        <w:rPr>
          <w:rFonts w:ascii="Verdana" w:hAnsi="Verdana"/>
          <w:sz w:val="16"/>
          <w:szCs w:val="16"/>
        </w:rPr>
        <w:t>.</w:t>
      </w:r>
    </w:p>
    <w:p w14:paraId="0C29F149" w14:textId="77777777" w:rsidR="0046241E" w:rsidRPr="002F649F" w:rsidRDefault="0046241E" w:rsidP="002F649F">
      <w:pPr>
        <w:pStyle w:val="FootnoteText"/>
        <w:jc w:val="both"/>
        <w:rPr>
          <w:rFonts w:ascii="Verdana" w:hAnsi="Verdana"/>
          <w:sz w:val="16"/>
          <w:szCs w:val="16"/>
        </w:rPr>
      </w:pPr>
    </w:p>
  </w:footnote>
  <w:footnote w:id="96">
    <w:p w14:paraId="5FAE71A1" w14:textId="36E31DE1"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Comité DESC. Observación General No. 14. El derecho al disfrute del más alto nivel posible de salud (artículo 12). 22º período de sesiones (2000), </w:t>
      </w:r>
      <w:proofErr w:type="spellStart"/>
      <w:r w:rsidRPr="002F649F">
        <w:rPr>
          <w:rFonts w:ascii="Verdana" w:hAnsi="Verdana"/>
          <w:sz w:val="16"/>
          <w:szCs w:val="16"/>
        </w:rPr>
        <w:t>párrs</w:t>
      </w:r>
      <w:proofErr w:type="spellEnd"/>
      <w:r w:rsidRPr="002F649F">
        <w:rPr>
          <w:rFonts w:ascii="Verdana" w:hAnsi="Verdana"/>
          <w:sz w:val="16"/>
          <w:szCs w:val="16"/>
        </w:rPr>
        <w:t xml:space="preserve">. 33 y 37.  </w:t>
      </w:r>
    </w:p>
  </w:footnote>
  <w:footnote w:id="97">
    <w:p w14:paraId="662D509A" w14:textId="77777777" w:rsidR="0046241E" w:rsidRDefault="0046241E" w:rsidP="002F649F">
      <w:pPr>
        <w:pStyle w:val="FootnoteText"/>
        <w:jc w:val="both"/>
        <w:rPr>
          <w:rFonts w:ascii="Verdana" w:hAnsi="Verdana"/>
          <w:sz w:val="16"/>
          <w:szCs w:val="16"/>
        </w:rPr>
      </w:pPr>
    </w:p>
    <w:p w14:paraId="2E8C01BB" w14:textId="4A040BD2"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Comité DESC. Observación General No. 14. El derecho al disfrute del más alto nivel posible de salud (artículo 12). 22º período de sesiones (2000), párr. 43. </w:t>
      </w:r>
    </w:p>
  </w:footnote>
  <w:footnote w:id="98">
    <w:p w14:paraId="737A2425" w14:textId="77777777" w:rsidR="0046241E" w:rsidRDefault="0046241E" w:rsidP="002F649F">
      <w:pPr>
        <w:pStyle w:val="FootnoteText"/>
        <w:jc w:val="both"/>
        <w:rPr>
          <w:rFonts w:ascii="Verdana" w:hAnsi="Verdana"/>
          <w:sz w:val="16"/>
          <w:szCs w:val="16"/>
        </w:rPr>
      </w:pPr>
    </w:p>
    <w:p w14:paraId="2ED34B9E" w14:textId="5C137720"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i/>
          <w:sz w:val="16"/>
          <w:szCs w:val="16"/>
        </w:rPr>
        <w:t>Cfr.</w:t>
      </w:r>
      <w:r w:rsidRPr="002F649F">
        <w:rPr>
          <w:rFonts w:ascii="Verdana" w:hAnsi="Verdana"/>
          <w:sz w:val="16"/>
          <w:szCs w:val="16"/>
        </w:rPr>
        <w:t xml:space="preserve"> Comité DESC. Observación General No. 14. El derecho al disfrute del más alto nivel posible de salud (artículo 12). 22º período de sesiones (2000), párr. 46 a 52. </w:t>
      </w:r>
    </w:p>
  </w:footnote>
  <w:footnote w:id="99">
    <w:p w14:paraId="2FC9977A" w14:textId="77777777" w:rsidR="0046241E" w:rsidRDefault="0046241E" w:rsidP="002F649F">
      <w:pPr>
        <w:pStyle w:val="FootnoteText"/>
        <w:jc w:val="both"/>
        <w:rPr>
          <w:rFonts w:ascii="Verdana" w:hAnsi="Verdana"/>
          <w:sz w:val="16"/>
          <w:szCs w:val="16"/>
        </w:rPr>
      </w:pPr>
    </w:p>
    <w:p w14:paraId="164BB625" w14:textId="0439EF1C" w:rsidR="0046241E"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Comité DESC. Observación General No. 14. El derecho al disfrute del más alto nivel posible de salud (artículo 12). 22º período de sesiones (2000), párr. 51.</w:t>
      </w:r>
    </w:p>
    <w:p w14:paraId="18B0DC26" w14:textId="77777777" w:rsidR="0046241E" w:rsidRPr="002F649F" w:rsidRDefault="0046241E" w:rsidP="002F649F">
      <w:pPr>
        <w:pStyle w:val="FootnoteText"/>
        <w:jc w:val="both"/>
        <w:rPr>
          <w:rFonts w:ascii="Verdana" w:hAnsi="Verdana"/>
          <w:sz w:val="16"/>
          <w:szCs w:val="16"/>
        </w:rPr>
      </w:pPr>
    </w:p>
  </w:footnote>
  <w:footnote w:id="100">
    <w:p w14:paraId="558CC3C9" w14:textId="712D157E"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La Corte señaló lo expuesto con base en sus propios precedentes, agregando que “cualquiera sea el origen o la forma que asuma, todo tratamiento que pueda ser considerado discriminatorio respecto del ejercicio de cualquiera de los derechos garantizados en la Convención es per se incompatible con la misma. El incumplimiento por el Estado, mediante cualquier tratamiento discriminatorio, de la obligación general de respetar y garantizar los derechos humanos, le genera responsabilidad internacional. Es por ello que existe un vínculo indisoluble entre la obligación de respetar y garantizar los derechos humanos y el principio d</w:t>
      </w:r>
      <w:r>
        <w:rPr>
          <w:rFonts w:ascii="Verdana" w:hAnsi="Verdana"/>
          <w:sz w:val="16"/>
          <w:szCs w:val="16"/>
        </w:rPr>
        <w:t xml:space="preserve">e igualdad y no discriminación”. Corte IDH. </w:t>
      </w:r>
      <w:r w:rsidRPr="002F649F">
        <w:rPr>
          <w:rFonts w:ascii="Verdana" w:hAnsi="Verdana"/>
          <w:i/>
          <w:sz w:val="16"/>
          <w:szCs w:val="16"/>
        </w:rPr>
        <w:t>Caso Flor Freire Vs. Ecuador. Excepción Preliminar, Fondo, Reparaciones y Costas.</w:t>
      </w:r>
      <w:r w:rsidRPr="002F649F">
        <w:rPr>
          <w:rFonts w:ascii="Verdana" w:hAnsi="Verdana"/>
          <w:sz w:val="16"/>
          <w:szCs w:val="16"/>
        </w:rPr>
        <w:t xml:space="preserve"> Sentencia de 31 de agosto de 2</w:t>
      </w:r>
      <w:r>
        <w:rPr>
          <w:rFonts w:ascii="Verdana" w:hAnsi="Verdana"/>
          <w:sz w:val="16"/>
          <w:szCs w:val="16"/>
        </w:rPr>
        <w:t>016. Serie C No. 315, párr. 111</w:t>
      </w:r>
      <w:r w:rsidRPr="002F649F">
        <w:rPr>
          <w:rFonts w:ascii="Verdana" w:hAnsi="Verdana"/>
          <w:sz w:val="16"/>
          <w:szCs w:val="16"/>
        </w:rPr>
        <w:t xml:space="preserve">. </w:t>
      </w:r>
    </w:p>
  </w:footnote>
  <w:footnote w:id="101">
    <w:p w14:paraId="63C4FCDC" w14:textId="77777777" w:rsidR="0046241E" w:rsidRDefault="0046241E" w:rsidP="002F649F">
      <w:pPr>
        <w:pStyle w:val="FootnoteText"/>
        <w:jc w:val="both"/>
        <w:rPr>
          <w:rFonts w:ascii="Verdana" w:hAnsi="Verdana"/>
          <w:sz w:val="16"/>
          <w:szCs w:val="16"/>
        </w:rPr>
      </w:pPr>
    </w:p>
    <w:p w14:paraId="706EED12" w14:textId="3231130D" w:rsidR="0046241E" w:rsidRDefault="0046241E" w:rsidP="00014EB7">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Corte IDH. </w:t>
      </w:r>
      <w:r w:rsidRPr="002F649F">
        <w:rPr>
          <w:rFonts w:ascii="Verdana" w:hAnsi="Verdana"/>
          <w:i/>
          <w:sz w:val="16"/>
          <w:szCs w:val="16"/>
        </w:rPr>
        <w:t xml:space="preserve">Caso Gonzales </w:t>
      </w:r>
      <w:proofErr w:type="spellStart"/>
      <w:r w:rsidRPr="002F649F">
        <w:rPr>
          <w:rFonts w:ascii="Verdana" w:hAnsi="Verdana"/>
          <w:i/>
          <w:sz w:val="16"/>
          <w:szCs w:val="16"/>
        </w:rPr>
        <w:t>Lluy</w:t>
      </w:r>
      <w:proofErr w:type="spellEnd"/>
      <w:r w:rsidRPr="002F649F">
        <w:rPr>
          <w:rFonts w:ascii="Verdana" w:hAnsi="Verdana"/>
          <w:i/>
          <w:sz w:val="16"/>
          <w:szCs w:val="16"/>
        </w:rPr>
        <w:t xml:space="preserve"> y otros Vs. Ecuador. Excepciones Preliminares, Fondo, Reparaciones y Costas.</w:t>
      </w:r>
      <w:r w:rsidRPr="002F649F">
        <w:rPr>
          <w:rFonts w:ascii="Verdana" w:hAnsi="Verdana"/>
          <w:sz w:val="16"/>
          <w:szCs w:val="16"/>
        </w:rPr>
        <w:t xml:space="preserve"> Sentencia de 01 de septiembre de 2015. Serie C No. 298, párr. 168. Vale agregar que desde sus primeros pronunciamientos la Corte entendió el deber de garantía en un sentido amplio como una “obligación [que] implica el deber de los Estados Partes de organizar todo el aparato gubernamental y, en general, todas las estructuras a través de las cuales se manifiesta el ejercicio del poder público, de manera tal que sean capaces de asegurar jurídicamente el libre y pleno ejercicio de los derechos humanos. […] La obligación de garantizar el libre y pleno ejercicio de los derechos humanos no se agota con la existencia de un orden normativo dirigido a hacer posible el cumplimiento de esta obligación, sino que comparta la necesidad de una conducta gubernamental que asegure la existencia, en la realidad, de una eficaz garantía del libre y pleno ejercicio de los derechos humanos”. </w:t>
      </w:r>
      <w:r>
        <w:rPr>
          <w:rFonts w:ascii="Verdana" w:hAnsi="Verdana"/>
          <w:sz w:val="16"/>
          <w:szCs w:val="16"/>
        </w:rPr>
        <w:t xml:space="preserve">Corte IDH. </w:t>
      </w:r>
      <w:r w:rsidRPr="002F649F">
        <w:rPr>
          <w:rFonts w:ascii="Verdana" w:hAnsi="Verdana"/>
          <w:i/>
          <w:sz w:val="16"/>
          <w:szCs w:val="16"/>
        </w:rPr>
        <w:t xml:space="preserve">Caso Velásquez Rodríguez Vs. Honduras. Fondo. </w:t>
      </w:r>
      <w:r w:rsidRPr="002F649F">
        <w:rPr>
          <w:rFonts w:ascii="Verdana" w:hAnsi="Verdana"/>
          <w:sz w:val="16"/>
          <w:szCs w:val="16"/>
        </w:rPr>
        <w:t xml:space="preserve">Sentencia de 29 de julio de 1988. </w:t>
      </w:r>
      <w:r>
        <w:rPr>
          <w:rFonts w:ascii="Verdana" w:hAnsi="Verdana"/>
          <w:sz w:val="16"/>
          <w:szCs w:val="16"/>
        </w:rPr>
        <w:t xml:space="preserve">Serie C No. 4, </w:t>
      </w:r>
      <w:proofErr w:type="spellStart"/>
      <w:r>
        <w:rPr>
          <w:rFonts w:ascii="Verdana" w:hAnsi="Verdana"/>
          <w:sz w:val="16"/>
          <w:szCs w:val="16"/>
        </w:rPr>
        <w:t>párrs</w:t>
      </w:r>
      <w:proofErr w:type="spellEnd"/>
      <w:r>
        <w:rPr>
          <w:rFonts w:ascii="Verdana" w:hAnsi="Verdana"/>
          <w:sz w:val="16"/>
          <w:szCs w:val="16"/>
        </w:rPr>
        <w:t>. 166 y 167</w:t>
      </w:r>
      <w:r w:rsidRPr="002F649F">
        <w:rPr>
          <w:rFonts w:ascii="Verdana" w:hAnsi="Verdana"/>
          <w:sz w:val="16"/>
          <w:szCs w:val="16"/>
        </w:rPr>
        <w:t xml:space="preserve">. </w:t>
      </w:r>
    </w:p>
    <w:p w14:paraId="708E9B54" w14:textId="77777777" w:rsidR="0046241E" w:rsidRPr="002F649F" w:rsidRDefault="0046241E" w:rsidP="00014EB7">
      <w:pPr>
        <w:pStyle w:val="FootnoteText"/>
        <w:jc w:val="both"/>
        <w:rPr>
          <w:rFonts w:ascii="Verdana" w:hAnsi="Verdana"/>
          <w:sz w:val="16"/>
          <w:szCs w:val="16"/>
        </w:rPr>
      </w:pPr>
    </w:p>
  </w:footnote>
  <w:footnote w:id="102">
    <w:p w14:paraId="7D3B8D40" w14:textId="3360A14A" w:rsidR="0046241E" w:rsidRPr="00014EB7" w:rsidRDefault="0046241E" w:rsidP="00014EB7">
      <w:pPr>
        <w:pStyle w:val="FootnoteText"/>
        <w:jc w:val="both"/>
        <w:rPr>
          <w:lang w:val="es-ES_tradnl"/>
        </w:rPr>
      </w:pPr>
      <w:r w:rsidRPr="00751774">
        <w:rPr>
          <w:rStyle w:val="FootnoteReference"/>
          <w:rFonts w:ascii="Verdana" w:hAnsi="Verdana"/>
          <w:sz w:val="16"/>
          <w:szCs w:val="16"/>
        </w:rPr>
        <w:footnoteRef/>
      </w:r>
      <w:r w:rsidRPr="00751774">
        <w:rPr>
          <w:rFonts w:ascii="Verdana" w:hAnsi="Verdana"/>
          <w:sz w:val="16"/>
          <w:szCs w:val="16"/>
        </w:rPr>
        <w:t xml:space="preserve"> </w:t>
      </w:r>
      <w:r w:rsidRPr="00751774">
        <w:rPr>
          <w:rFonts w:ascii="Verdana" w:hAnsi="Verdana"/>
          <w:sz w:val="16"/>
          <w:szCs w:val="16"/>
        </w:rPr>
        <w:tab/>
      </w:r>
      <w:r w:rsidRPr="00751774">
        <w:rPr>
          <w:rFonts w:ascii="Verdana" w:hAnsi="Verdana"/>
          <w:i/>
          <w:sz w:val="16"/>
          <w:szCs w:val="16"/>
        </w:rPr>
        <w:t>Cfr.</w:t>
      </w:r>
      <w:r w:rsidRPr="00751774">
        <w:rPr>
          <w:rFonts w:ascii="Verdana" w:hAnsi="Verdana"/>
          <w:sz w:val="16"/>
          <w:szCs w:val="16"/>
        </w:rPr>
        <w:t xml:space="preserve"> Corte IDH. </w:t>
      </w:r>
      <w:r w:rsidRPr="00751774">
        <w:rPr>
          <w:rFonts w:ascii="Verdana" w:hAnsi="Verdana"/>
          <w:i/>
          <w:sz w:val="16"/>
          <w:szCs w:val="16"/>
        </w:rPr>
        <w:t xml:space="preserve">Caso </w:t>
      </w:r>
      <w:proofErr w:type="spellStart"/>
      <w:r w:rsidRPr="00751774">
        <w:rPr>
          <w:rFonts w:ascii="Verdana" w:hAnsi="Verdana"/>
          <w:i/>
          <w:sz w:val="16"/>
          <w:szCs w:val="16"/>
        </w:rPr>
        <w:t>Yarce</w:t>
      </w:r>
      <w:proofErr w:type="spellEnd"/>
      <w:r w:rsidRPr="00751774">
        <w:rPr>
          <w:rFonts w:ascii="Verdana" w:hAnsi="Verdana"/>
          <w:i/>
          <w:sz w:val="16"/>
          <w:szCs w:val="16"/>
        </w:rPr>
        <w:t xml:space="preserve"> y otras Vs. Colombia. Excepción Preliminar, Fondo, Reparaciones y Costas.</w:t>
      </w:r>
      <w:r w:rsidRPr="00751774">
        <w:rPr>
          <w:rFonts w:ascii="Verdana" w:hAnsi="Verdana"/>
          <w:sz w:val="16"/>
          <w:szCs w:val="16"/>
        </w:rPr>
        <w:t xml:space="preserve"> Sentencia de 22 de noviembre de  2016, Serie C </w:t>
      </w:r>
      <w:r>
        <w:rPr>
          <w:rFonts w:ascii="Verdana" w:hAnsi="Verdana"/>
          <w:sz w:val="16"/>
          <w:szCs w:val="16"/>
        </w:rPr>
        <w:t>No. 325</w:t>
      </w:r>
      <w:r w:rsidRPr="00751774">
        <w:rPr>
          <w:rFonts w:ascii="Verdana" w:hAnsi="Verdana"/>
          <w:sz w:val="16"/>
          <w:szCs w:val="16"/>
        </w:rPr>
        <w:t xml:space="preserve">, </w:t>
      </w:r>
      <w:r w:rsidRPr="00DB01B1">
        <w:rPr>
          <w:rFonts w:ascii="Verdana" w:hAnsi="Verdana"/>
          <w:sz w:val="16"/>
          <w:szCs w:val="16"/>
        </w:rPr>
        <w:t>párr. 18</w:t>
      </w:r>
      <w:r>
        <w:rPr>
          <w:rFonts w:ascii="Verdana" w:hAnsi="Verdana"/>
          <w:sz w:val="16"/>
          <w:szCs w:val="16"/>
        </w:rPr>
        <w:t>1</w:t>
      </w:r>
      <w:r w:rsidRPr="00DB01B1">
        <w:rPr>
          <w:rFonts w:ascii="Verdana" w:hAnsi="Verdana"/>
          <w:sz w:val="16"/>
          <w:szCs w:val="16"/>
        </w:rPr>
        <w:t>.</w:t>
      </w:r>
      <w:r>
        <w:rPr>
          <w:rFonts w:ascii="Verdana" w:hAnsi="Verdana"/>
          <w:sz w:val="16"/>
          <w:szCs w:val="16"/>
        </w:rPr>
        <w:t xml:space="preserve"> </w:t>
      </w:r>
    </w:p>
  </w:footnote>
  <w:footnote w:id="103">
    <w:p w14:paraId="17256016" w14:textId="77777777" w:rsidR="0046241E" w:rsidRDefault="0046241E" w:rsidP="00014EB7">
      <w:pPr>
        <w:pStyle w:val="FootnoteText"/>
        <w:jc w:val="both"/>
        <w:rPr>
          <w:rFonts w:ascii="Verdana" w:hAnsi="Verdana"/>
          <w:sz w:val="16"/>
          <w:szCs w:val="16"/>
        </w:rPr>
      </w:pPr>
    </w:p>
    <w:p w14:paraId="43E9C34E" w14:textId="35DE44F9" w:rsidR="0046241E"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Corte IDH. C</w:t>
      </w:r>
      <w:r w:rsidRPr="002F649F">
        <w:rPr>
          <w:rFonts w:ascii="Verdana" w:hAnsi="Verdana"/>
          <w:i/>
          <w:sz w:val="16"/>
          <w:szCs w:val="16"/>
        </w:rPr>
        <w:t>aso Flor Freire Vs. Ecuador. Excepción Preliminar, Fondo, Reparaciones y Costas.</w:t>
      </w:r>
      <w:r w:rsidRPr="002F649F">
        <w:rPr>
          <w:rFonts w:ascii="Verdana" w:hAnsi="Verdana"/>
          <w:sz w:val="16"/>
          <w:szCs w:val="16"/>
        </w:rPr>
        <w:t xml:space="preserve"> Sentencia de 31 de agosto de 2016. Serie C No. 315, párr. 139. </w:t>
      </w:r>
    </w:p>
    <w:p w14:paraId="31F811C2" w14:textId="77777777" w:rsidR="0046241E" w:rsidRPr="002F649F" w:rsidRDefault="0046241E" w:rsidP="002F649F">
      <w:pPr>
        <w:pStyle w:val="FootnoteText"/>
        <w:jc w:val="both"/>
        <w:rPr>
          <w:rFonts w:ascii="Verdana" w:hAnsi="Verdana"/>
          <w:sz w:val="16"/>
          <w:szCs w:val="16"/>
        </w:rPr>
      </w:pPr>
    </w:p>
  </w:footnote>
  <w:footnote w:id="104">
    <w:p w14:paraId="7AD2BA56" w14:textId="2B08C652" w:rsidR="0046241E"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Corte IDH. </w:t>
      </w:r>
      <w:r w:rsidRPr="002F649F">
        <w:rPr>
          <w:rFonts w:ascii="Verdana" w:hAnsi="Verdana"/>
          <w:i/>
          <w:sz w:val="16"/>
          <w:szCs w:val="16"/>
        </w:rPr>
        <w:t>Caso de personas dominicanas y haitianas expulsadas Vs. República Dominicana. Excepciones Preliminares, Fondo, Reparaciones y Costas.</w:t>
      </w:r>
      <w:r w:rsidRPr="002F649F">
        <w:rPr>
          <w:rFonts w:ascii="Verdana" w:hAnsi="Verdana"/>
          <w:sz w:val="16"/>
          <w:szCs w:val="16"/>
        </w:rPr>
        <w:t xml:space="preserve"> Sentencia de 28 de agosto de 2014. Serie C No. 282, </w:t>
      </w:r>
      <w:proofErr w:type="spellStart"/>
      <w:r w:rsidRPr="002F649F">
        <w:rPr>
          <w:rFonts w:ascii="Verdana" w:hAnsi="Verdana"/>
          <w:sz w:val="16"/>
          <w:szCs w:val="16"/>
        </w:rPr>
        <w:t>párrs</w:t>
      </w:r>
      <w:proofErr w:type="spellEnd"/>
      <w:r w:rsidRPr="002F649F">
        <w:rPr>
          <w:rFonts w:ascii="Verdana" w:hAnsi="Verdana"/>
          <w:sz w:val="16"/>
          <w:szCs w:val="16"/>
        </w:rPr>
        <w:t xml:space="preserve">. 270 y 271. La Corte sustentó lo dicho en esos párrafos en precedentes del Tribunal. </w:t>
      </w:r>
    </w:p>
    <w:p w14:paraId="1FB49CB6" w14:textId="77777777" w:rsidR="0046241E" w:rsidRPr="002F649F" w:rsidRDefault="0046241E" w:rsidP="002F649F">
      <w:pPr>
        <w:pStyle w:val="FootnoteText"/>
        <w:jc w:val="both"/>
        <w:rPr>
          <w:rFonts w:ascii="Verdana" w:hAnsi="Verdana"/>
          <w:sz w:val="16"/>
          <w:szCs w:val="16"/>
        </w:rPr>
      </w:pPr>
    </w:p>
  </w:footnote>
  <w:footnote w:id="105">
    <w:p w14:paraId="548EEAC1" w14:textId="4D772D1F" w:rsidR="0046241E" w:rsidRDefault="0046241E" w:rsidP="002F649F">
      <w:pPr>
        <w:pStyle w:val="FootnoteText"/>
        <w:tabs>
          <w:tab w:val="left" w:pos="709"/>
          <w:tab w:val="left" w:pos="9356"/>
        </w:tabs>
        <w:ind w:right="4"/>
        <w:jc w:val="both"/>
        <w:rPr>
          <w:rFonts w:ascii="Verdana" w:hAnsi="Verdana"/>
          <w:bCs/>
          <w:color w:val="000000"/>
          <w:sz w:val="16"/>
          <w:szCs w:val="16"/>
          <w:shd w:val="clear" w:color="auto" w:fill="FFFFFF"/>
          <w:lang w:val="es-CO"/>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En ese sentido, he señalado en una oportunidad anterior que “[e]s importante resaltar que todos los derechos tienen facetas prestacionales y no prestacionales. Es decir, establecer la característica de derechos prestacionales sólo a los derechos sociales no parece ser una respuesta viable en los tiempos actuales y pareciera un equívoco o un ‘error categorial’, tal como lo señaló la propia Corte Constitucional de Colombia en la sentencia T-760 de 2008. </w:t>
      </w:r>
      <w:r w:rsidRPr="002F649F">
        <w:rPr>
          <w:rFonts w:ascii="Verdana" w:hAnsi="Verdana"/>
          <w:i/>
          <w:sz w:val="16"/>
          <w:szCs w:val="16"/>
        </w:rPr>
        <w:t>Cfr.</w:t>
      </w:r>
      <w:r w:rsidRPr="002F649F">
        <w:rPr>
          <w:rFonts w:ascii="Verdana" w:hAnsi="Verdana"/>
          <w:sz w:val="16"/>
          <w:szCs w:val="16"/>
        </w:rPr>
        <w:t xml:space="preserve"> Corte Constitucional de Colombia, Sentencia</w:t>
      </w:r>
      <w:r w:rsidRPr="002F649F">
        <w:rPr>
          <w:rFonts w:ascii="Verdana" w:hAnsi="Verdana"/>
          <w:bCs/>
          <w:color w:val="000000"/>
          <w:sz w:val="16"/>
          <w:szCs w:val="16"/>
          <w:shd w:val="clear" w:color="auto" w:fill="FFFFFF"/>
          <w:lang w:val="es-CO"/>
        </w:rPr>
        <w:t xml:space="preserve"> T-760 de 2008 (Magistrado Ponente: Manuel José Cepeda Espinosa), párr. 3.3.5. Véase:</w:t>
      </w:r>
      <w:r w:rsidRPr="002F649F">
        <w:rPr>
          <w:rFonts w:ascii="Verdana" w:hAnsi="Verdana"/>
          <w:sz w:val="16"/>
          <w:szCs w:val="16"/>
        </w:rPr>
        <w:t xml:space="preserve"> Voto concurrente respecto de la Sentencia de la Corte en el </w:t>
      </w:r>
      <w:r w:rsidRPr="002F649F">
        <w:rPr>
          <w:rFonts w:ascii="Verdana" w:hAnsi="Verdana"/>
          <w:i/>
          <w:sz w:val="16"/>
          <w:szCs w:val="16"/>
        </w:rPr>
        <w:t>caso Suárez Peralta Vs. Ecuador</w:t>
      </w:r>
      <w:r w:rsidRPr="002F649F">
        <w:rPr>
          <w:rFonts w:ascii="Verdana" w:hAnsi="Verdana"/>
          <w:sz w:val="16"/>
          <w:szCs w:val="16"/>
        </w:rPr>
        <w:t xml:space="preserve">. </w:t>
      </w:r>
      <w:r w:rsidRPr="002F649F">
        <w:rPr>
          <w:rFonts w:ascii="Verdana" w:hAnsi="Verdana"/>
          <w:i/>
          <w:sz w:val="16"/>
          <w:szCs w:val="16"/>
        </w:rPr>
        <w:t>Excepciones Preliminares, Fondo, Reparaciones y Costas.</w:t>
      </w:r>
      <w:r w:rsidRPr="002F649F">
        <w:rPr>
          <w:rFonts w:ascii="Verdana" w:hAnsi="Verdana"/>
          <w:sz w:val="16"/>
          <w:szCs w:val="16"/>
        </w:rPr>
        <w:t xml:space="preserve"> Sentencia de 21 de mayo de 2013. Serie C No. 261, párr. 78 y nota a pie de página 141. </w:t>
      </w:r>
      <w:r w:rsidRPr="002F649F">
        <w:rPr>
          <w:rFonts w:ascii="Verdana" w:hAnsi="Verdana"/>
          <w:bCs/>
          <w:color w:val="000000"/>
          <w:sz w:val="16"/>
          <w:szCs w:val="16"/>
          <w:shd w:val="clear" w:color="auto" w:fill="FFFFFF"/>
          <w:lang w:val="es-CO"/>
        </w:rPr>
        <w:t xml:space="preserve"> </w:t>
      </w:r>
    </w:p>
    <w:p w14:paraId="6EECB46D" w14:textId="77777777" w:rsidR="0046241E" w:rsidRPr="002F649F" w:rsidRDefault="0046241E" w:rsidP="002F649F">
      <w:pPr>
        <w:pStyle w:val="FootnoteText"/>
        <w:tabs>
          <w:tab w:val="left" w:pos="709"/>
          <w:tab w:val="left" w:pos="9356"/>
        </w:tabs>
        <w:ind w:right="4"/>
        <w:jc w:val="both"/>
        <w:rPr>
          <w:rFonts w:ascii="Verdana" w:hAnsi="Verdana"/>
          <w:bCs/>
          <w:color w:val="000000"/>
          <w:sz w:val="16"/>
          <w:szCs w:val="16"/>
          <w:shd w:val="clear" w:color="auto" w:fill="FFFFFF"/>
          <w:lang w:val="es-CO"/>
        </w:rPr>
      </w:pPr>
    </w:p>
  </w:footnote>
  <w:footnote w:id="106">
    <w:p w14:paraId="4F1756A7" w14:textId="77777777" w:rsidR="0046241E" w:rsidRPr="002F649F" w:rsidRDefault="0046241E" w:rsidP="002F649F">
      <w:pPr>
        <w:pStyle w:val="FootnoteText"/>
        <w:jc w:val="both"/>
        <w:rPr>
          <w:rFonts w:ascii="Verdana" w:hAnsi="Verdana"/>
          <w:sz w:val="16"/>
          <w:szCs w:val="16"/>
          <w:lang w:val="es-ES_tradnl"/>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La anterior afirmación no implica desconocer que ambas clases de derechos tienen, en mayor o menor medida, cargas positivas (obligaciones de garantía) y cargar negativas (obligación de respeto) en cuanto a su cumplimiento. </w:t>
      </w:r>
    </w:p>
    <w:p w14:paraId="4D641417" w14:textId="77777777" w:rsidR="0046241E" w:rsidRPr="002F649F" w:rsidRDefault="0046241E" w:rsidP="002F649F">
      <w:pPr>
        <w:pStyle w:val="FootnoteText"/>
        <w:jc w:val="both"/>
        <w:rPr>
          <w:rFonts w:ascii="Verdana" w:hAnsi="Verdana"/>
          <w:sz w:val="16"/>
          <w:szCs w:val="16"/>
          <w:lang w:val="es-ES_tradnl"/>
        </w:rPr>
      </w:pPr>
    </w:p>
  </w:footnote>
  <w:footnote w:id="107">
    <w:p w14:paraId="7FD4D1E5" w14:textId="13196B8E" w:rsidR="0046241E" w:rsidRDefault="0046241E" w:rsidP="002F649F">
      <w:pPr>
        <w:pStyle w:val="ListParagraph"/>
        <w:ind w:left="0"/>
        <w:contextualSpacing w:val="0"/>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cs="Arial"/>
          <w:sz w:val="16"/>
          <w:szCs w:val="16"/>
          <w:lang w:val="es-ES"/>
        </w:rPr>
        <w:t xml:space="preserve">Así, por ejemplo, respecto al caso </w:t>
      </w:r>
      <w:proofErr w:type="spellStart"/>
      <w:r w:rsidRPr="002F649F">
        <w:rPr>
          <w:rFonts w:ascii="Verdana" w:hAnsi="Verdana" w:cs="Arial"/>
          <w:i/>
          <w:sz w:val="16"/>
          <w:szCs w:val="16"/>
          <w:lang w:val="es-ES"/>
        </w:rPr>
        <w:t>V</w:t>
      </w:r>
      <w:r>
        <w:rPr>
          <w:rFonts w:ascii="Verdana" w:hAnsi="Verdana" w:cs="Arial"/>
          <w:i/>
          <w:sz w:val="16"/>
          <w:szCs w:val="16"/>
          <w:lang w:val="es-ES"/>
        </w:rPr>
        <w:t>é</w:t>
      </w:r>
      <w:r w:rsidRPr="002F649F">
        <w:rPr>
          <w:rFonts w:ascii="Verdana" w:hAnsi="Verdana" w:cs="Arial"/>
          <w:i/>
          <w:sz w:val="16"/>
          <w:szCs w:val="16"/>
          <w:lang w:val="es-ES"/>
        </w:rPr>
        <w:t>liz</w:t>
      </w:r>
      <w:proofErr w:type="spellEnd"/>
      <w:r w:rsidRPr="002F649F">
        <w:rPr>
          <w:rFonts w:ascii="Verdana" w:hAnsi="Verdana" w:cs="Arial"/>
          <w:i/>
          <w:sz w:val="16"/>
          <w:szCs w:val="16"/>
          <w:lang w:val="es-ES"/>
        </w:rPr>
        <w:t xml:space="preserve"> Franco y otros Vs. Guatemala</w:t>
      </w:r>
      <w:r w:rsidRPr="002F649F">
        <w:rPr>
          <w:rFonts w:ascii="Verdana" w:hAnsi="Verdana" w:cs="Arial"/>
          <w:sz w:val="16"/>
          <w:szCs w:val="16"/>
          <w:lang w:val="es-ES"/>
        </w:rPr>
        <w:t>, frente al argumento estatal atinente los derechos a las garantías judiciales y a la protección judicial, de que no se le podía atribuir responsabilidad por omisiones al momento de los hechos que años después subsanó, la Corte afirmó que “[e]n cuanto a los alegados impedimentos para realizar determinadas diligencias adecuadamente al momento de los hechos […] el Estado no puede excusar el incumplimiento de su obligación de investigar con la debida diligencia porque al momento de los hechos no existía normativa, procedimientos o medidas para realizar las diligencias investigativas iniciales adecuadamente de acuerdo a los estándares de derecho internacional que se desprenden de tratados aplicables y en vigor al momento de los hechos”. Específicamente, como consta en el párrafo 171 de la Sentencia respectiva, el Estado había manifestado “que ‘al momento de los hechos, las pruebas que se realizaban a los cadáveres de tanto hombres como mujeres, se realizaban de conformidad con los procedimientos requeridos por los fiscales o jueces en dicha época y de acuerdo a [sus] posibilidades’, [y que] ‘con el paso del tiempo el Estado ha ido subsanando estos vacíos durante la última década, adoptando una serie de medidas que hoy por hoy hacen más uniforme y ordenada la diligencia del levantamiento del cadáver y el modo de [la] recolección de evidencias’ y por tanto [que] no se le p[</w:t>
      </w:r>
      <w:proofErr w:type="spellStart"/>
      <w:r w:rsidRPr="002F649F">
        <w:rPr>
          <w:rFonts w:ascii="Verdana" w:hAnsi="Verdana" w:cs="Arial"/>
          <w:sz w:val="16"/>
          <w:szCs w:val="16"/>
          <w:lang w:val="es-ES"/>
        </w:rPr>
        <w:t>odía</w:t>
      </w:r>
      <w:proofErr w:type="spellEnd"/>
      <w:r w:rsidRPr="002F649F">
        <w:rPr>
          <w:rFonts w:ascii="Verdana" w:hAnsi="Verdana" w:cs="Arial"/>
          <w:sz w:val="16"/>
          <w:szCs w:val="16"/>
          <w:lang w:val="es-ES"/>
        </w:rPr>
        <w:t>] atribuir la responsabilidad internacional por ‘omisión de pruebas que s[</w:t>
      </w:r>
      <w:proofErr w:type="spellStart"/>
      <w:r w:rsidRPr="002F649F">
        <w:rPr>
          <w:rFonts w:ascii="Verdana" w:hAnsi="Verdana" w:cs="Arial"/>
          <w:sz w:val="16"/>
          <w:szCs w:val="16"/>
          <w:lang w:val="es-ES"/>
        </w:rPr>
        <w:t>ó</w:t>
      </w:r>
      <w:proofErr w:type="spellEnd"/>
      <w:r w:rsidRPr="002F649F">
        <w:rPr>
          <w:rFonts w:ascii="Verdana" w:hAnsi="Verdana" w:cs="Arial"/>
          <w:sz w:val="16"/>
          <w:szCs w:val="16"/>
          <w:lang w:val="es-ES"/>
        </w:rPr>
        <w:t xml:space="preserve">]lo se pueden realizar a partir de la creación del Instituto Nacional de Ciencias Forenses’ en el año 2007. Explicó el Estado que ‘al momento de ocurrir los hechos [del caso, en diciembre de 2001,] no había legislación ni procedimientos específicos para casos de violencia contra la mujer, pero [para diciembre de 2012] si los hay’”. Corte IDH. </w:t>
      </w:r>
      <w:r>
        <w:rPr>
          <w:rFonts w:ascii="Verdana" w:hAnsi="Verdana" w:cs="Arial"/>
          <w:i/>
          <w:sz w:val="16"/>
          <w:szCs w:val="16"/>
          <w:lang w:val="es-ES"/>
        </w:rPr>
        <w:t>C</w:t>
      </w:r>
      <w:r w:rsidRPr="002F649F">
        <w:rPr>
          <w:rFonts w:ascii="Verdana" w:hAnsi="Verdana" w:cs="Arial"/>
          <w:i/>
          <w:sz w:val="16"/>
          <w:szCs w:val="16"/>
          <w:lang w:val="es-ES"/>
        </w:rPr>
        <w:t xml:space="preserve">aso </w:t>
      </w:r>
      <w:proofErr w:type="spellStart"/>
      <w:r w:rsidRPr="002F649F">
        <w:rPr>
          <w:rFonts w:ascii="Verdana" w:hAnsi="Verdana" w:cs="Arial"/>
          <w:i/>
          <w:sz w:val="16"/>
          <w:szCs w:val="16"/>
          <w:lang w:val="es-ES"/>
        </w:rPr>
        <w:t>V</w:t>
      </w:r>
      <w:r>
        <w:rPr>
          <w:rFonts w:ascii="Verdana" w:hAnsi="Verdana" w:cs="Arial"/>
          <w:i/>
          <w:sz w:val="16"/>
          <w:szCs w:val="16"/>
          <w:lang w:val="es-ES"/>
        </w:rPr>
        <w:t>é</w:t>
      </w:r>
      <w:r w:rsidRPr="002F649F">
        <w:rPr>
          <w:rFonts w:ascii="Verdana" w:hAnsi="Verdana" w:cs="Arial"/>
          <w:i/>
          <w:sz w:val="16"/>
          <w:szCs w:val="16"/>
          <w:lang w:val="es-ES"/>
        </w:rPr>
        <w:t>liz</w:t>
      </w:r>
      <w:proofErr w:type="spellEnd"/>
      <w:r w:rsidRPr="002F649F">
        <w:rPr>
          <w:rFonts w:ascii="Verdana" w:hAnsi="Verdana" w:cs="Arial"/>
          <w:i/>
          <w:sz w:val="16"/>
          <w:szCs w:val="16"/>
          <w:lang w:val="es-ES"/>
        </w:rPr>
        <w:t xml:space="preserve"> Franco y otros Vs. Guatemala. Excepciones Preliminares, Fondo, Reparaciones y Costas</w:t>
      </w:r>
      <w:r w:rsidRPr="002F649F">
        <w:rPr>
          <w:rFonts w:ascii="Verdana" w:hAnsi="Verdana" w:cs="Arial"/>
          <w:sz w:val="16"/>
          <w:szCs w:val="16"/>
          <w:lang w:val="es-ES"/>
        </w:rPr>
        <w:t xml:space="preserve">. Sentencia de 19 de mayo de 2014. Serie C No. 277, </w:t>
      </w:r>
      <w:proofErr w:type="spellStart"/>
      <w:r w:rsidRPr="002F649F">
        <w:rPr>
          <w:rFonts w:ascii="Verdana" w:hAnsi="Verdana" w:cs="Arial"/>
          <w:sz w:val="16"/>
          <w:szCs w:val="16"/>
          <w:lang w:val="es-ES"/>
        </w:rPr>
        <w:t>párrs</w:t>
      </w:r>
      <w:proofErr w:type="spellEnd"/>
      <w:r w:rsidRPr="002F649F">
        <w:rPr>
          <w:rFonts w:ascii="Verdana" w:hAnsi="Verdana" w:cs="Arial"/>
          <w:sz w:val="16"/>
          <w:szCs w:val="16"/>
          <w:lang w:val="es-ES"/>
        </w:rPr>
        <w:t>. 171 y 180.</w:t>
      </w:r>
      <w:r w:rsidRPr="002F649F">
        <w:rPr>
          <w:rFonts w:ascii="Verdana" w:hAnsi="Verdana"/>
          <w:sz w:val="16"/>
          <w:szCs w:val="16"/>
        </w:rPr>
        <w:t xml:space="preserve"> </w:t>
      </w:r>
    </w:p>
    <w:p w14:paraId="09D2B04A" w14:textId="77777777" w:rsidR="0046241E" w:rsidRPr="002F649F" w:rsidRDefault="0046241E" w:rsidP="002F649F">
      <w:pPr>
        <w:pStyle w:val="ListParagraph"/>
        <w:ind w:left="0"/>
        <w:contextualSpacing w:val="0"/>
        <w:jc w:val="both"/>
        <w:rPr>
          <w:rFonts w:ascii="Verdana" w:hAnsi="Verdana"/>
          <w:sz w:val="16"/>
          <w:szCs w:val="16"/>
        </w:rPr>
      </w:pPr>
    </w:p>
  </w:footnote>
  <w:footnote w:id="108">
    <w:p w14:paraId="69940E8C" w14:textId="3B8D73AC" w:rsidR="0046241E"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Voto concurrente respecto de la Sentencia de la Corte en el </w:t>
      </w:r>
      <w:r w:rsidRPr="002F649F">
        <w:rPr>
          <w:rFonts w:ascii="Verdana" w:hAnsi="Verdana"/>
          <w:i/>
          <w:sz w:val="16"/>
          <w:szCs w:val="16"/>
        </w:rPr>
        <w:t>Caso Suárez Peralta Vs. Ecuador</w:t>
      </w:r>
      <w:r>
        <w:rPr>
          <w:rFonts w:ascii="Verdana" w:hAnsi="Verdana"/>
          <w:sz w:val="16"/>
          <w:szCs w:val="16"/>
        </w:rPr>
        <w:t xml:space="preserve">. </w:t>
      </w:r>
      <w:r w:rsidRPr="002F649F">
        <w:rPr>
          <w:rFonts w:ascii="Verdana" w:hAnsi="Verdana"/>
          <w:i/>
          <w:sz w:val="16"/>
          <w:szCs w:val="16"/>
        </w:rPr>
        <w:t>Excepciones Preliminares, Fondo, Reparaciones y Costas.</w:t>
      </w:r>
      <w:r w:rsidRPr="002F649F">
        <w:rPr>
          <w:rFonts w:ascii="Verdana" w:hAnsi="Verdana"/>
          <w:sz w:val="16"/>
          <w:szCs w:val="16"/>
        </w:rPr>
        <w:t xml:space="preserve"> Sentencia de 21 de mayo de 2013. Serie C No</w:t>
      </w:r>
      <w:r>
        <w:rPr>
          <w:rFonts w:ascii="Verdana" w:hAnsi="Verdana"/>
          <w:sz w:val="16"/>
          <w:szCs w:val="16"/>
        </w:rPr>
        <w:t>. 261</w:t>
      </w:r>
      <w:r w:rsidRPr="002F649F">
        <w:rPr>
          <w:rFonts w:ascii="Verdana" w:hAnsi="Verdana"/>
          <w:sz w:val="16"/>
          <w:szCs w:val="16"/>
        </w:rPr>
        <w:t xml:space="preserve">, párr. 7. </w:t>
      </w:r>
    </w:p>
    <w:p w14:paraId="35C04BE0" w14:textId="77777777" w:rsidR="0046241E" w:rsidRPr="002F649F" w:rsidRDefault="0046241E" w:rsidP="002F649F">
      <w:pPr>
        <w:pStyle w:val="FootnoteText"/>
        <w:jc w:val="both"/>
        <w:rPr>
          <w:rFonts w:ascii="Verdana" w:hAnsi="Verdana"/>
          <w:sz w:val="16"/>
          <w:szCs w:val="16"/>
        </w:rPr>
      </w:pPr>
    </w:p>
  </w:footnote>
  <w:footnote w:id="109">
    <w:p w14:paraId="2216FFD9" w14:textId="51B15DEC" w:rsidR="0046241E" w:rsidRPr="002F649F" w:rsidRDefault="0046241E" w:rsidP="002F649F">
      <w:pPr>
        <w:pStyle w:val="ListParagraph"/>
        <w:ind w:left="0"/>
        <w:contextualSpacing w:val="0"/>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Ahora bien, lo dicho no obsta a advertir que en tanto que no exista en un Estado la “plena efectividad” de cualquier derecho, sea económico, político, cultural, civil o social, tal Estado deberá adoptar acciones para lograr tal objetivo. Esto está incluso contemplado en la propia Convención, cuyo artículo 41, sin distinguir tipos de derechos, expresa como una “función principal” de la Comisión Interamericana, “formular recomendaciones, cuando lo estime conveniente, a los gobiernos de los Estados miembros para que </w:t>
      </w:r>
      <w:r w:rsidRPr="002F649F">
        <w:rPr>
          <w:rFonts w:ascii="Verdana" w:hAnsi="Verdana"/>
          <w:i/>
          <w:sz w:val="16"/>
          <w:szCs w:val="16"/>
        </w:rPr>
        <w:t>adopten medidas progresivas</w:t>
      </w:r>
      <w:r w:rsidRPr="002F649F">
        <w:rPr>
          <w:rFonts w:ascii="Verdana" w:hAnsi="Verdana"/>
          <w:sz w:val="16"/>
          <w:szCs w:val="16"/>
        </w:rPr>
        <w:t xml:space="preserve"> en favor de los derechos humanos” (énfasis añadido). Lo anterior, no obstante, no incide en el régimen normativo estatuido en relación con las obligaciones y la responsabilidad de los Estados. Es cierto que la propia Convención asume que puede ser necesario avanzar en la adopción de medidas respecto a la observancia de todos los derechos humanos; ello no podría ser de otro modo, pues lo contrario implicaría una ficción: es un hecho que la “plena satisfacción” de los derechos no es una situación dada </w:t>
      </w:r>
      <w:r w:rsidRPr="002F649F">
        <w:rPr>
          <w:rFonts w:ascii="Verdana" w:hAnsi="Verdana"/>
          <w:i/>
          <w:sz w:val="16"/>
          <w:szCs w:val="16"/>
        </w:rPr>
        <w:t>a priori</w:t>
      </w:r>
      <w:r w:rsidRPr="002F649F">
        <w:rPr>
          <w:rFonts w:ascii="Verdana" w:hAnsi="Verdana"/>
          <w:sz w:val="16"/>
          <w:szCs w:val="16"/>
        </w:rPr>
        <w:t>, y que siempre se requerirán acciones estatales para avanzar hacia el logro de ese fin. No obstante, el artículo 26 está dentro de la Parte I del tratado, que versa sobre “Deberes de los Estados y Derechos Protegidos” y el artículo 41 se encuentra dentro de la Parte II, llamada “Medios de Protección”, y alude a las funciones de la Comisión Interamericana de “promover la observancia y la defensa de los derechos humanos”, no a sus funciones de tramitar peticiones o comunicaciones, que se regulan en los artículos 44 a 51. De ese modo, el reconocimiento implícito hecho en la Convención de que podrá ser necesaria la adopción de medidas para el avance de todos los derechos no incide en el régimen obligacional y de responsabilidad relativo a los derechos que se encuentran plasmados en los artículos 3 a 25 del Tratado; la plena efectividad de los mismos es exigible, inclusive judicialmente, de modo inmediato a partir de la entrada en vigor del tratado. Debe notarse también que el término “</w:t>
      </w:r>
      <w:proofErr w:type="spellStart"/>
      <w:r w:rsidRPr="002F649F">
        <w:rPr>
          <w:rFonts w:ascii="Verdana" w:hAnsi="Verdana"/>
          <w:sz w:val="16"/>
          <w:szCs w:val="16"/>
        </w:rPr>
        <w:t>progresiv</w:t>
      </w:r>
      <w:proofErr w:type="spellEnd"/>
      <w:r w:rsidRPr="002F649F">
        <w:rPr>
          <w:rFonts w:ascii="Verdana" w:hAnsi="Verdana"/>
          <w:sz w:val="16"/>
          <w:szCs w:val="16"/>
        </w:rPr>
        <w:t>[o]” en el artículo 41 de la Convención se refiere a las “medidas” a adoptar y que, en el artículo 26 refiere al “logro” de la “plena efectividad” de los derechos.</w:t>
      </w:r>
    </w:p>
  </w:footnote>
  <w:footnote w:id="110">
    <w:p w14:paraId="3667F497" w14:textId="77777777" w:rsidR="0046241E" w:rsidRDefault="0046241E" w:rsidP="002F649F">
      <w:pPr>
        <w:shd w:val="clear" w:color="auto" w:fill="FFFFFF"/>
        <w:jc w:val="both"/>
        <w:rPr>
          <w:rFonts w:ascii="Verdana" w:hAnsi="Verdana"/>
          <w:sz w:val="16"/>
          <w:szCs w:val="16"/>
        </w:rPr>
      </w:pPr>
    </w:p>
    <w:p w14:paraId="31DC23B7" w14:textId="569C5BEE" w:rsidR="0046241E" w:rsidRDefault="0046241E" w:rsidP="002F649F">
      <w:pPr>
        <w:shd w:val="clear" w:color="auto" w:fill="FFFFFF"/>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cs="Arial"/>
          <w:sz w:val="16"/>
          <w:szCs w:val="16"/>
        </w:rPr>
        <w:t xml:space="preserve">Consejo Económico y Social. </w:t>
      </w:r>
      <w:r w:rsidRPr="002F649F">
        <w:rPr>
          <w:rFonts w:ascii="Verdana" w:hAnsi="Verdana"/>
          <w:sz w:val="16"/>
          <w:szCs w:val="16"/>
        </w:rPr>
        <w:t xml:space="preserve">Comisión de Derechos Humanos. 54º periodo de sesiones. Derechos humanos, Éxodos en masa y personas desplazadas. Informe del Representante del Secretario General, Sr. Francis M. </w:t>
      </w:r>
      <w:proofErr w:type="spellStart"/>
      <w:r w:rsidRPr="002F649F">
        <w:rPr>
          <w:rFonts w:ascii="Verdana" w:hAnsi="Verdana"/>
          <w:sz w:val="16"/>
          <w:szCs w:val="16"/>
        </w:rPr>
        <w:t>Deng</w:t>
      </w:r>
      <w:proofErr w:type="spellEnd"/>
      <w:r w:rsidRPr="002F649F">
        <w:rPr>
          <w:rFonts w:ascii="Verdana" w:hAnsi="Verdana"/>
          <w:sz w:val="16"/>
          <w:szCs w:val="16"/>
        </w:rPr>
        <w:t>, presentado con arreglo a la resolución 1997/39 de la Comisión de Derechos Humanos Adición. Principios Rectores de los desplazamientos internos. 11 de febrero de 1998. E/CN.4/1998/53/Add.2 El texto aclara que a efectos del mismo, “se entiende por desplazados internos las personas o grupos de  personas que se han visto forzadas u obligadas a escapar  o huir de su hogar o de su lugar de residencia habitual, en particular como resultado o para evitar los efectos de un conflicto armado, de situaciones de violencia generalizada, de violaciones de los derechos humanos o de catástrofes naturales o provocadas por el ser humano, y que no han cruzado una frontera estatal internacionalmente reconocida”.</w:t>
      </w:r>
    </w:p>
    <w:p w14:paraId="1D1862C9" w14:textId="77777777" w:rsidR="0046241E" w:rsidRPr="002F649F" w:rsidRDefault="0046241E" w:rsidP="002F649F">
      <w:pPr>
        <w:shd w:val="clear" w:color="auto" w:fill="FFFFFF"/>
        <w:jc w:val="both"/>
        <w:rPr>
          <w:rFonts w:ascii="Verdana" w:hAnsi="Verdana"/>
          <w:sz w:val="16"/>
          <w:szCs w:val="16"/>
        </w:rPr>
      </w:pPr>
    </w:p>
  </w:footnote>
  <w:footnote w:id="111">
    <w:p w14:paraId="39D8DAF7" w14:textId="123BE03D"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En relación el documento citado, la Organización de Estados Americanos, a través de su Asamblea General, “[i]</w:t>
      </w:r>
      <w:proofErr w:type="spellStart"/>
      <w:r w:rsidRPr="002F649F">
        <w:rPr>
          <w:rFonts w:ascii="Verdana" w:eastAsiaTheme="minorHAnsi" w:hAnsi="Verdana"/>
          <w:sz w:val="16"/>
          <w:szCs w:val="16"/>
          <w:lang w:val="es-CR"/>
        </w:rPr>
        <w:t>nst</w:t>
      </w:r>
      <w:proofErr w:type="spellEnd"/>
      <w:r w:rsidRPr="002F649F">
        <w:rPr>
          <w:rFonts w:ascii="Verdana" w:eastAsiaTheme="minorHAnsi" w:hAnsi="Verdana"/>
          <w:sz w:val="16"/>
          <w:szCs w:val="16"/>
          <w:lang w:val="es-CR"/>
        </w:rPr>
        <w:t>[</w:t>
      </w:r>
      <w:proofErr w:type="spellStart"/>
      <w:r w:rsidRPr="002F649F">
        <w:rPr>
          <w:rFonts w:ascii="Verdana" w:eastAsiaTheme="minorHAnsi" w:hAnsi="Verdana"/>
          <w:sz w:val="16"/>
          <w:szCs w:val="16"/>
          <w:lang w:val="es-CR"/>
        </w:rPr>
        <w:t>ó</w:t>
      </w:r>
      <w:proofErr w:type="spellEnd"/>
      <w:r w:rsidRPr="002F649F">
        <w:rPr>
          <w:rFonts w:ascii="Verdana" w:eastAsiaTheme="minorHAnsi" w:hAnsi="Verdana"/>
          <w:sz w:val="16"/>
          <w:szCs w:val="16"/>
          <w:lang w:val="es-CR"/>
        </w:rPr>
        <w:t>] a los Estados Miembros a que consideren utilizar los Principios Rectores de los Desplazamientos Internos elaborados por el Representante Especial del Secretario General de las Naciones Unidas sobre la cuestión de los desplazados internos, como base para sus planes, políticas y programas en apoyo a estas personas y, de acuerdo con el derecho internacional, a las […] necesidades específicas que requieren[, entre otras personas,] los niños [y] las mujeres”, y a “que consideren la adopción e implementación en su orden interno de los Principios Rectores de los Desplazamientos Internos, los cuales reflejan aspectos de la normativa internacional de derechos humanos y el derecho internacional humanitario” (</w:t>
      </w:r>
      <w:r w:rsidRPr="002F649F">
        <w:rPr>
          <w:rFonts w:ascii="Verdana" w:hAnsi="Verdana"/>
          <w:sz w:val="16"/>
          <w:szCs w:val="16"/>
        </w:rPr>
        <w:t xml:space="preserve">AG/RES. 2277 (XXXVII-O/07). Desplazados internos. Aprobada en la cuarta sesión plenaria, celebrada el 5 de junio de 2007, puntos 1 y 3.En similar sentido lo había hecho antes, y también en términos similares lo efectuó con posterioridad: </w:t>
      </w:r>
      <w:r w:rsidRPr="002F649F">
        <w:rPr>
          <w:rFonts w:ascii="Verdana" w:hAnsi="Verdana"/>
          <w:i/>
          <w:sz w:val="16"/>
          <w:szCs w:val="16"/>
        </w:rPr>
        <w:t>cfr.</w:t>
      </w:r>
      <w:r w:rsidRPr="002F649F">
        <w:rPr>
          <w:rFonts w:ascii="Verdana" w:hAnsi="Verdana"/>
          <w:sz w:val="16"/>
          <w:szCs w:val="16"/>
        </w:rPr>
        <w:t xml:space="preserve"> AG/RES. 2055 (XXXIV-O/04). Desplazados Internos. Aprobada en la cuarta sesión plenaria, celebrada el 8 de junio de 2004; AG/RES. 2140 (XXXV-O/05). Desplazados internos. Aprobada en la cuarta sesión plenaria, celebrada el 7 de junio de 2005; AG/RES. 2229 (XXXVI-O/06). Desplazados internos. Aprobada en la cuarta sesión plenaria, celebrada el 6 de junio de 2006; AG/RES. 2417 (XXXVIII-O/08). Desplazados Internos. Aprobada en la cuarta sesión plenaria, celebrada el 3 de junio de 2008; AG/RES. 2508 (XXXIX-O/09). Desplazados Internos. Aprobada en la cuarta sesión plenaria, celebrada el 4 de junio de 2009; AG/RES. 2578 (XL-O/10). Desplazados Internos. Aprobada en la cuarta sesión plenaria, celebrada el 8 de junio de 2010; AG/RES. 2667 (XLI-O/11). Desplazados Internos. Aprobada en la cuarta sesión plenaria, celebrada el 7 de junio de 2011; AG/RES. 2716 (XLII-O/12). Desplazados Internos. Aprobada en la segunda sesión plenaria,</w:t>
      </w:r>
      <w:r>
        <w:rPr>
          <w:rFonts w:ascii="Verdana" w:hAnsi="Verdana"/>
          <w:sz w:val="16"/>
          <w:szCs w:val="16"/>
        </w:rPr>
        <w:t xml:space="preserve"> </w:t>
      </w:r>
      <w:r w:rsidRPr="002F649F">
        <w:rPr>
          <w:rFonts w:ascii="Verdana" w:hAnsi="Verdana"/>
          <w:sz w:val="16"/>
          <w:szCs w:val="16"/>
        </w:rPr>
        <w:t>celebrada el 4 de junio de 2012, y AG/RES. 2850 (XLIV-O/14). Desplazados Internos. Aprobada en la segunda sesión plenaria, celebrada el 4 de junio de 2014.)</w:t>
      </w:r>
    </w:p>
  </w:footnote>
  <w:footnote w:id="112">
    <w:p w14:paraId="4D1F1EB2" w14:textId="77777777" w:rsidR="0046241E" w:rsidRDefault="0046241E" w:rsidP="002F649F">
      <w:pPr>
        <w:pStyle w:val="FootnoteText"/>
        <w:jc w:val="both"/>
        <w:rPr>
          <w:rFonts w:ascii="Verdana" w:hAnsi="Verdana"/>
          <w:sz w:val="16"/>
          <w:szCs w:val="16"/>
        </w:rPr>
      </w:pPr>
    </w:p>
    <w:p w14:paraId="4F550348" w14:textId="77777777"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Consejo Económico y Social. Comisión de Derechos Humanos. Subcomisión de Promoción y Protección de los Derechos </w:t>
      </w:r>
      <w:proofErr w:type="gramStart"/>
      <w:r w:rsidRPr="002F649F">
        <w:rPr>
          <w:rFonts w:ascii="Verdana" w:hAnsi="Verdana"/>
          <w:sz w:val="16"/>
          <w:szCs w:val="16"/>
        </w:rPr>
        <w:t>Humanos .</w:t>
      </w:r>
      <w:proofErr w:type="gramEnd"/>
      <w:r w:rsidRPr="002F649F">
        <w:rPr>
          <w:rFonts w:ascii="Verdana" w:hAnsi="Verdana"/>
          <w:sz w:val="16"/>
          <w:szCs w:val="16"/>
        </w:rPr>
        <w:t xml:space="preserve"> 57º período de sesiones. Restitución de viviendas y de  patrimonio con motivo del regreso de los refugiados y desplazados internos.  Informe definitivo del Relator Especial, Sr. Paulo Sergio </w:t>
      </w:r>
      <w:proofErr w:type="spellStart"/>
      <w:r w:rsidRPr="002F649F">
        <w:rPr>
          <w:rFonts w:ascii="Verdana" w:hAnsi="Verdana"/>
          <w:sz w:val="16"/>
          <w:szCs w:val="16"/>
        </w:rPr>
        <w:t>Pinheiro</w:t>
      </w:r>
      <w:proofErr w:type="spellEnd"/>
      <w:r w:rsidRPr="002F649F">
        <w:rPr>
          <w:rFonts w:ascii="Verdana" w:hAnsi="Verdana"/>
          <w:sz w:val="16"/>
          <w:szCs w:val="16"/>
        </w:rPr>
        <w:t xml:space="preserve">. Principios sobre la restitución de las viviendas y  el patrimonio de los refugiados y las personas  desplazadas. 28 de junio de 2005. Doc. E/CN.4/Sub.2/2005/17. El texto expresamente indica, en el párrafo 1.2, que “[l]os Principios sobre la restitución de las viviendas y el patrimonio de los refugiados y las personas desplazadas se aplican por igual a todos los refugiados, desplazados  internos y demás  personas desplazadas que se encuentren en situaciones similares y hayan huido de su país pero que tal vez no estén encuadradas en la definición jurídica de refugiado […], a quienes se haya privado de forma arbitraria o ilegal de sus anteriores hogares, tierras, bienes o lugares de residencia habitual, independientemente de la naturaleza del desplazamiento o de las circunstancias que lo originaron”. </w:t>
      </w:r>
    </w:p>
    <w:p w14:paraId="0B6BBAED" w14:textId="77777777" w:rsidR="0046241E" w:rsidRPr="002F649F" w:rsidRDefault="0046241E" w:rsidP="002F649F">
      <w:pPr>
        <w:pStyle w:val="FootnoteText"/>
        <w:jc w:val="both"/>
        <w:rPr>
          <w:rFonts w:ascii="Verdana" w:hAnsi="Verdana"/>
          <w:sz w:val="16"/>
          <w:szCs w:val="16"/>
        </w:rPr>
      </w:pPr>
    </w:p>
  </w:footnote>
  <w:footnote w:id="113">
    <w:p w14:paraId="3C9B659A" w14:textId="6F11B539" w:rsidR="0046241E" w:rsidRDefault="0046241E" w:rsidP="002F649F">
      <w:pPr>
        <w:pStyle w:val="FootnoteText"/>
        <w:tabs>
          <w:tab w:val="left" w:pos="709"/>
          <w:tab w:val="left" w:pos="8647"/>
          <w:tab w:val="left" w:pos="9356"/>
        </w:tabs>
        <w:ind w:right="6"/>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Aprobada en la Novena Conferencia Internacional Americana, en 1948. </w:t>
      </w:r>
      <w:r w:rsidRPr="002F649F">
        <w:rPr>
          <w:rFonts w:ascii="Verdana" w:hAnsi="Verdana"/>
          <w:sz w:val="16"/>
          <w:szCs w:val="16"/>
          <w:lang w:val="es-CR"/>
        </w:rPr>
        <w:t>Como señalé en el párrafo 63 del voto razonado emitido respecto a la Sentencia sobre el caso</w:t>
      </w:r>
      <w:r w:rsidRPr="002F649F">
        <w:rPr>
          <w:rFonts w:ascii="Verdana" w:hAnsi="Verdana"/>
          <w:i/>
          <w:sz w:val="16"/>
          <w:szCs w:val="16"/>
        </w:rPr>
        <w:t xml:space="preserve"> Suárez Peralta Vs. Ecuador</w:t>
      </w:r>
      <w:r>
        <w:rPr>
          <w:rFonts w:ascii="Verdana" w:hAnsi="Verdana"/>
          <w:sz w:val="16"/>
          <w:szCs w:val="16"/>
        </w:rPr>
        <w:t xml:space="preserve">. </w:t>
      </w:r>
      <w:r w:rsidRPr="002F649F">
        <w:rPr>
          <w:rFonts w:ascii="Verdana" w:hAnsi="Verdana"/>
          <w:i/>
          <w:sz w:val="16"/>
          <w:szCs w:val="16"/>
        </w:rPr>
        <w:t>Excepciones Preliminares, Fondo, Reparaciones y Costas.</w:t>
      </w:r>
      <w:r w:rsidRPr="002F649F">
        <w:rPr>
          <w:rFonts w:ascii="Verdana" w:hAnsi="Verdana"/>
          <w:sz w:val="16"/>
          <w:szCs w:val="16"/>
        </w:rPr>
        <w:t xml:space="preserve"> Sentencia de 21 de mayo de 2013. Serie C No. 261),</w:t>
      </w:r>
      <w:r w:rsidRPr="002F649F">
        <w:rPr>
          <w:rFonts w:ascii="Verdana" w:hAnsi="Verdana"/>
          <w:sz w:val="16"/>
          <w:szCs w:val="16"/>
          <w:lang w:val="es-CR"/>
        </w:rPr>
        <w:t xml:space="preserve"> “[s]</w:t>
      </w:r>
      <w:proofErr w:type="spellStart"/>
      <w:r w:rsidRPr="002F649F">
        <w:rPr>
          <w:rFonts w:ascii="Verdana" w:hAnsi="Verdana"/>
          <w:sz w:val="16"/>
          <w:szCs w:val="16"/>
          <w:lang w:val="es-MX"/>
        </w:rPr>
        <w:t>obre</w:t>
      </w:r>
      <w:proofErr w:type="spellEnd"/>
      <w:r w:rsidRPr="002F649F">
        <w:rPr>
          <w:rFonts w:ascii="Verdana" w:hAnsi="Verdana"/>
          <w:sz w:val="16"/>
          <w:szCs w:val="16"/>
          <w:lang w:val="es-MX"/>
        </w:rPr>
        <w:t xml:space="preserve"> la posible integración de la Carta de la OEA con la Declaración Americana de los Derechos y Deberes del Hombre, es pertinente tener en cuenta la Opinión Consultiva OC-10/89 ‘Interpretación de la Declaración Americana de los Derechos y Deberes del Hombre en el marco del artículo 64 de la Convención Americana sobre Derechos Humanos, del 14 de julio de 1989, en especial, sus párrafos 43 y 45: ‘</w:t>
      </w:r>
      <w:r w:rsidRPr="002F649F">
        <w:rPr>
          <w:rFonts w:ascii="Verdana" w:hAnsi="Verdana"/>
          <w:sz w:val="16"/>
          <w:szCs w:val="16"/>
        </w:rPr>
        <w:t xml:space="preserve">43. Puede considerarse entonces que, a manera de interpretación autorizada, los Estados Miembros han entendido que la Declaración contiene y define aquellos derechos humanos esenciales a los que la Carta se refiere, de manera que no se puede interpretar y aplicar la Carta de la Organización en materia de derechos humanos, sin integrar las normas pertinentes de ella con las correspondientes disposiciones de la Declaración, como resulta de la práctica seguida por los órganos de la OEA. </w:t>
      </w:r>
      <w:r w:rsidRPr="002F649F">
        <w:rPr>
          <w:rFonts w:ascii="Verdana" w:hAnsi="Verdana"/>
          <w:sz w:val="16"/>
          <w:szCs w:val="16"/>
        </w:rPr>
        <w:sym w:font="Symbol" w:char="F05B"/>
      </w:r>
      <w:r w:rsidRPr="002F649F">
        <w:rPr>
          <w:rFonts w:ascii="Verdana" w:hAnsi="Verdana"/>
          <w:sz w:val="16"/>
          <w:szCs w:val="16"/>
        </w:rPr>
        <w:t>…</w:t>
      </w:r>
      <w:r w:rsidRPr="002F649F">
        <w:rPr>
          <w:rFonts w:ascii="Verdana" w:hAnsi="Verdana"/>
          <w:sz w:val="16"/>
          <w:szCs w:val="16"/>
        </w:rPr>
        <w:sym w:font="Symbol" w:char="F05D"/>
      </w:r>
      <w:r w:rsidRPr="002F649F">
        <w:rPr>
          <w:rFonts w:ascii="Verdana" w:hAnsi="Verdana"/>
          <w:sz w:val="16"/>
          <w:szCs w:val="16"/>
        </w:rPr>
        <w:t xml:space="preserve"> 45. Para los Estados Miembros de la Organización, la Declaración es el texto que determina cuáles son los derechos humanos a que se refiere la Carta. De otra parte, los artículos 1.2.b) y 20 del Estatuto de la Comisión definen, igualmente, la competencia de la misma respecto de los derechos humanos enunciados en la Declaración. Es decir, para estos Estados la Declaración Americana constituye, en lo pertinente y en relación con la Carta de la Organización, una fuente de obligaciones internacionales’”.</w:t>
      </w:r>
    </w:p>
    <w:p w14:paraId="717E23BA" w14:textId="77777777" w:rsidR="0046241E" w:rsidRPr="008C6081" w:rsidRDefault="0046241E" w:rsidP="002F649F">
      <w:pPr>
        <w:pStyle w:val="FootnoteText"/>
        <w:tabs>
          <w:tab w:val="left" w:pos="709"/>
          <w:tab w:val="left" w:pos="8647"/>
          <w:tab w:val="left" w:pos="9356"/>
        </w:tabs>
        <w:ind w:right="6"/>
        <w:jc w:val="both"/>
        <w:rPr>
          <w:rFonts w:ascii="Verdana" w:hAnsi="Verdana"/>
          <w:sz w:val="16"/>
          <w:szCs w:val="16"/>
        </w:rPr>
      </w:pPr>
    </w:p>
  </w:footnote>
  <w:footnote w:id="114">
    <w:p w14:paraId="7910B242" w14:textId="4C2E8596" w:rsidR="0046241E" w:rsidRPr="002F649F" w:rsidRDefault="0046241E" w:rsidP="002F649F">
      <w:pPr>
        <w:pStyle w:val="FootnoteText"/>
        <w:jc w:val="both"/>
        <w:rPr>
          <w:rFonts w:ascii="Verdana" w:hAnsi="Verdana" w:cs="Arial"/>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sz w:val="16"/>
          <w:szCs w:val="16"/>
          <w:lang w:val="es-CR"/>
        </w:rPr>
        <w:t>Adviértase que el texto de la Declaración Americana de los Derechos y Deberes del Hombre incorpora en una misma disposición la vivienda como uno entre varios otros elementos, tales como alimentación y vestido. Es similar, en ese sentido, el párrafo 1 del artículo 11 del Pacto Internacional de Derechos Económicos Sociales y Culturales, mediante el cual los Estados Partes “</w:t>
      </w:r>
      <w:r w:rsidRPr="002F649F">
        <w:rPr>
          <w:rFonts w:ascii="Verdana" w:hAnsi="Verdana" w:cs="Arial"/>
          <w:sz w:val="16"/>
          <w:szCs w:val="16"/>
        </w:rPr>
        <w:t>reconocen el derecho de toda persona a un nivel de vida adecuado para sí y su familia, incluso alimentación, vestido y vivienda adecuados, y a una mejora continua de las condiciones de existencia". Esta norma ha permitido al Comité de Derechos Económicos, Sociales y Culturales pronunciarse respecto al derecho a una vivienda adecuada</w:t>
      </w:r>
      <w:r>
        <w:rPr>
          <w:rFonts w:ascii="Verdana" w:hAnsi="Verdana" w:cs="Arial"/>
          <w:sz w:val="16"/>
          <w:szCs w:val="16"/>
        </w:rPr>
        <w:t xml:space="preserve">- </w:t>
      </w:r>
      <w:r>
        <w:rPr>
          <w:rFonts w:ascii="Verdana" w:hAnsi="Verdana" w:cs="Arial"/>
          <w:i/>
          <w:sz w:val="16"/>
          <w:szCs w:val="16"/>
        </w:rPr>
        <w:t>C</w:t>
      </w:r>
      <w:r w:rsidRPr="002F649F">
        <w:rPr>
          <w:rFonts w:ascii="Verdana" w:hAnsi="Verdana" w:cs="Arial"/>
          <w:i/>
          <w:sz w:val="16"/>
          <w:szCs w:val="16"/>
        </w:rPr>
        <w:t>fr.</w:t>
      </w:r>
      <w:r w:rsidRPr="002F649F">
        <w:rPr>
          <w:rFonts w:ascii="Verdana" w:hAnsi="Verdana" w:cs="Arial"/>
          <w:sz w:val="16"/>
          <w:szCs w:val="16"/>
        </w:rPr>
        <w:t xml:space="preserve"> su Observación general Nº 4: El derecho a una vivienda adecuada (párrafo 1 del</w:t>
      </w:r>
      <w:r>
        <w:rPr>
          <w:rFonts w:ascii="Verdana" w:hAnsi="Verdana" w:cs="Arial"/>
          <w:sz w:val="16"/>
          <w:szCs w:val="16"/>
        </w:rPr>
        <w:t xml:space="preserve"> artículo 11 del Pacto</w:t>
      </w:r>
      <w:r w:rsidRPr="002F649F">
        <w:rPr>
          <w:rFonts w:ascii="Verdana" w:hAnsi="Verdana" w:cs="Arial"/>
          <w:sz w:val="16"/>
          <w:szCs w:val="16"/>
        </w:rPr>
        <w:t>).</w:t>
      </w:r>
    </w:p>
  </w:footnote>
  <w:footnote w:id="115">
    <w:p w14:paraId="3DE96456" w14:textId="77777777" w:rsidR="0046241E" w:rsidRDefault="0046241E" w:rsidP="002F649F">
      <w:pPr>
        <w:pStyle w:val="FootnoteText"/>
        <w:jc w:val="both"/>
        <w:rPr>
          <w:rFonts w:ascii="Verdana" w:hAnsi="Verdana"/>
          <w:sz w:val="16"/>
          <w:szCs w:val="16"/>
        </w:rPr>
      </w:pPr>
    </w:p>
    <w:p w14:paraId="09717910" w14:textId="5CDCD3F2" w:rsidR="0046241E" w:rsidRDefault="0046241E" w:rsidP="002F649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sz w:val="16"/>
          <w:szCs w:val="16"/>
          <w:lang w:val="es-CR"/>
        </w:rPr>
        <w:t xml:space="preserve">Así, por ejemplo, como en otras oportunidades, respecto al caso </w:t>
      </w:r>
      <w:r w:rsidRPr="002F649F">
        <w:rPr>
          <w:rFonts w:ascii="Verdana" w:hAnsi="Verdana"/>
          <w:i/>
          <w:sz w:val="16"/>
          <w:szCs w:val="16"/>
          <w:lang w:val="es-CR"/>
        </w:rPr>
        <w:t>familia Pacheco Tineo Vs. Bolivia,</w:t>
      </w:r>
      <w:r w:rsidRPr="002F649F">
        <w:rPr>
          <w:rFonts w:ascii="Verdana" w:hAnsi="Verdana"/>
          <w:sz w:val="16"/>
          <w:szCs w:val="16"/>
          <w:lang w:val="es-CR"/>
        </w:rPr>
        <w:t xml:space="preserve">  al entender el artículo 19 de la Convención, referido a los “[d]</w:t>
      </w:r>
      <w:proofErr w:type="spellStart"/>
      <w:r w:rsidRPr="002F649F">
        <w:rPr>
          <w:rFonts w:ascii="Verdana" w:hAnsi="Verdana"/>
          <w:sz w:val="16"/>
          <w:szCs w:val="16"/>
          <w:lang w:val="es-CR"/>
        </w:rPr>
        <w:t>erechos</w:t>
      </w:r>
      <w:proofErr w:type="spellEnd"/>
      <w:r w:rsidRPr="002F649F">
        <w:rPr>
          <w:rFonts w:ascii="Verdana" w:hAnsi="Verdana"/>
          <w:sz w:val="16"/>
          <w:szCs w:val="16"/>
          <w:lang w:val="es-CR"/>
        </w:rPr>
        <w:t xml:space="preserve"> del [n]</w:t>
      </w:r>
      <w:proofErr w:type="spellStart"/>
      <w:r w:rsidRPr="002F649F">
        <w:rPr>
          <w:rFonts w:ascii="Verdana" w:hAnsi="Verdana"/>
          <w:sz w:val="16"/>
          <w:szCs w:val="16"/>
          <w:lang w:val="es-CR"/>
        </w:rPr>
        <w:t>iño</w:t>
      </w:r>
      <w:proofErr w:type="spellEnd"/>
      <w:r w:rsidRPr="002F649F">
        <w:rPr>
          <w:rFonts w:ascii="Verdana" w:hAnsi="Verdana"/>
          <w:sz w:val="16"/>
          <w:szCs w:val="16"/>
          <w:lang w:val="es-CR"/>
        </w:rPr>
        <w:t xml:space="preserve">”, la Corte IDH ha aseveró que dicha norma debía interpretarse “a la luz del </w:t>
      </w:r>
      <w:r w:rsidRPr="002F649F">
        <w:rPr>
          <w:rFonts w:ascii="Verdana" w:hAnsi="Verdana"/>
          <w:i/>
          <w:sz w:val="16"/>
          <w:szCs w:val="16"/>
          <w:lang w:val="es-CR"/>
        </w:rPr>
        <w:t xml:space="preserve">corpus </w:t>
      </w:r>
      <w:proofErr w:type="spellStart"/>
      <w:r w:rsidRPr="002F649F">
        <w:rPr>
          <w:rFonts w:ascii="Verdana" w:hAnsi="Verdana"/>
          <w:i/>
          <w:sz w:val="16"/>
          <w:szCs w:val="16"/>
          <w:lang w:val="es-CR"/>
        </w:rPr>
        <w:t>juris</w:t>
      </w:r>
      <w:proofErr w:type="spellEnd"/>
      <w:r w:rsidRPr="002F649F">
        <w:rPr>
          <w:rFonts w:ascii="Verdana" w:hAnsi="Verdana"/>
          <w:i/>
          <w:sz w:val="16"/>
          <w:szCs w:val="16"/>
          <w:lang w:val="es-CR"/>
        </w:rPr>
        <w:t xml:space="preserve"> </w:t>
      </w:r>
      <w:r w:rsidRPr="002F649F">
        <w:rPr>
          <w:rFonts w:ascii="Verdana" w:hAnsi="Verdana"/>
          <w:sz w:val="16"/>
          <w:szCs w:val="16"/>
          <w:lang w:val="es-CR"/>
        </w:rPr>
        <w:t xml:space="preserve">internacional de protección de los niños y las niñas”, expresando que “este </w:t>
      </w:r>
      <w:r w:rsidRPr="002F649F">
        <w:rPr>
          <w:rFonts w:ascii="Verdana" w:hAnsi="Verdana"/>
          <w:i/>
          <w:sz w:val="16"/>
          <w:szCs w:val="16"/>
          <w:lang w:val="es-CR"/>
        </w:rPr>
        <w:t xml:space="preserve">corpus </w:t>
      </w:r>
      <w:proofErr w:type="spellStart"/>
      <w:r w:rsidRPr="002F649F">
        <w:rPr>
          <w:rFonts w:ascii="Verdana" w:hAnsi="Verdana"/>
          <w:i/>
          <w:sz w:val="16"/>
          <w:szCs w:val="16"/>
          <w:lang w:val="es-CR"/>
        </w:rPr>
        <w:t>juris</w:t>
      </w:r>
      <w:proofErr w:type="spellEnd"/>
      <w:r w:rsidRPr="002F649F">
        <w:rPr>
          <w:rFonts w:ascii="Verdana" w:hAnsi="Verdana"/>
          <w:sz w:val="16"/>
          <w:szCs w:val="16"/>
          <w:lang w:val="es-CR"/>
        </w:rPr>
        <w:t xml:space="preserve"> debe servir para definir el contenido y los alcances de las obligaciones que ha asumido el Estado cuando se analizan los derechos de las niñas y los niños”, por lo que </w:t>
      </w:r>
      <w:proofErr w:type="spellStart"/>
      <w:r w:rsidRPr="002F649F">
        <w:rPr>
          <w:rFonts w:ascii="Verdana" w:hAnsi="Verdana"/>
          <w:sz w:val="16"/>
          <w:szCs w:val="16"/>
          <w:lang w:val="es-CR"/>
        </w:rPr>
        <w:t>consideraó</w:t>
      </w:r>
      <w:proofErr w:type="spellEnd"/>
      <w:r w:rsidRPr="002F649F">
        <w:rPr>
          <w:rFonts w:ascii="Verdana" w:hAnsi="Verdana"/>
          <w:sz w:val="16"/>
          <w:szCs w:val="16"/>
          <w:lang w:val="es-CR"/>
        </w:rPr>
        <w:t xml:space="preserve"> relevante tener en cuenta la Convención sobre los Derechos del Niño. Corte IDH. </w:t>
      </w:r>
      <w:r w:rsidRPr="002F649F">
        <w:rPr>
          <w:rFonts w:ascii="Verdana" w:hAnsi="Verdana"/>
          <w:i/>
          <w:sz w:val="16"/>
          <w:szCs w:val="16"/>
          <w:lang w:val="es-CR"/>
        </w:rPr>
        <w:t>Caso familia Pacheco Tineo Vs. Bolivia.</w:t>
      </w:r>
      <w:r w:rsidRPr="002F649F">
        <w:rPr>
          <w:rFonts w:ascii="Verdana" w:hAnsi="Verdana"/>
          <w:sz w:val="16"/>
          <w:szCs w:val="16"/>
          <w:lang w:val="es-CR"/>
        </w:rPr>
        <w:t xml:space="preserve"> </w:t>
      </w:r>
      <w:r w:rsidRPr="002F649F">
        <w:rPr>
          <w:rFonts w:ascii="Verdana" w:hAnsi="Verdana"/>
          <w:i/>
          <w:sz w:val="16"/>
          <w:szCs w:val="16"/>
          <w:lang w:val="es-CR"/>
        </w:rPr>
        <w:t>Excepciones Preliminares, Fondo, Reparaciones y Costas</w:t>
      </w:r>
      <w:r w:rsidRPr="002F649F">
        <w:rPr>
          <w:rFonts w:ascii="Verdana" w:hAnsi="Verdana"/>
          <w:sz w:val="16"/>
          <w:szCs w:val="16"/>
          <w:lang w:val="es-CR"/>
        </w:rPr>
        <w:t xml:space="preserve">. Sentencia de 25 de noviembre de 2013. Serie C No. 272, </w:t>
      </w:r>
      <w:proofErr w:type="spellStart"/>
      <w:r w:rsidRPr="002F649F">
        <w:rPr>
          <w:rFonts w:ascii="Verdana" w:hAnsi="Verdana"/>
          <w:sz w:val="16"/>
          <w:szCs w:val="16"/>
          <w:lang w:val="es-CR"/>
        </w:rPr>
        <w:t>párrs</w:t>
      </w:r>
      <w:proofErr w:type="spellEnd"/>
      <w:r w:rsidRPr="002F649F">
        <w:rPr>
          <w:rFonts w:ascii="Verdana" w:hAnsi="Verdana"/>
          <w:sz w:val="16"/>
          <w:szCs w:val="16"/>
          <w:lang w:val="es-CR"/>
        </w:rPr>
        <w:t xml:space="preserve">. 216, 217 y 219. </w:t>
      </w:r>
    </w:p>
    <w:p w14:paraId="2FC7A2C9" w14:textId="77777777" w:rsidR="0046241E" w:rsidRPr="002F649F" w:rsidRDefault="0046241E" w:rsidP="002F649F">
      <w:pPr>
        <w:pStyle w:val="FootnoteText"/>
        <w:jc w:val="both"/>
        <w:rPr>
          <w:rFonts w:ascii="Verdana" w:hAnsi="Verdana"/>
          <w:sz w:val="16"/>
          <w:szCs w:val="16"/>
          <w:lang w:val="es-CR"/>
        </w:rPr>
      </w:pPr>
    </w:p>
  </w:footnote>
  <w:footnote w:id="116">
    <w:p w14:paraId="250A5ACE" w14:textId="301BF77E"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sz w:val="16"/>
          <w:szCs w:val="16"/>
          <w:lang w:val="es-CR"/>
        </w:rPr>
        <w:t>Reitero al respecto lo</w:t>
      </w:r>
      <w:r>
        <w:rPr>
          <w:rFonts w:ascii="Verdana" w:hAnsi="Verdana"/>
          <w:sz w:val="16"/>
          <w:szCs w:val="16"/>
          <w:lang w:val="es-CR"/>
        </w:rPr>
        <w:t xml:space="preserve"> expresado en el párrafo 54 de mi V</w:t>
      </w:r>
      <w:r w:rsidRPr="002F649F">
        <w:rPr>
          <w:rFonts w:ascii="Verdana" w:hAnsi="Verdana"/>
          <w:sz w:val="16"/>
          <w:szCs w:val="16"/>
          <w:lang w:val="es-CR"/>
        </w:rPr>
        <w:t xml:space="preserve">oto concurrente </w:t>
      </w:r>
      <w:r w:rsidRPr="002F649F">
        <w:rPr>
          <w:rFonts w:ascii="Verdana" w:hAnsi="Verdana"/>
          <w:sz w:val="16"/>
          <w:szCs w:val="16"/>
        </w:rPr>
        <w:t xml:space="preserve">respecto de la Sentencia de la Corte en el </w:t>
      </w:r>
      <w:r w:rsidRPr="002F649F">
        <w:rPr>
          <w:rFonts w:ascii="Verdana" w:hAnsi="Verdana"/>
          <w:i/>
          <w:sz w:val="16"/>
          <w:szCs w:val="16"/>
        </w:rPr>
        <w:t xml:space="preserve">Caso Suárez Peralta Vs. </w:t>
      </w:r>
      <w:proofErr w:type="gramStart"/>
      <w:r w:rsidRPr="002F649F">
        <w:rPr>
          <w:rFonts w:ascii="Verdana" w:hAnsi="Verdana"/>
          <w:i/>
          <w:sz w:val="16"/>
          <w:szCs w:val="16"/>
        </w:rPr>
        <w:t>Ecuador</w:t>
      </w:r>
      <w:r w:rsidRPr="002F649F">
        <w:rPr>
          <w:rFonts w:ascii="Verdana" w:hAnsi="Verdana"/>
          <w:sz w:val="16"/>
          <w:szCs w:val="16"/>
        </w:rPr>
        <w:t xml:space="preserve"> </w:t>
      </w:r>
      <w:r>
        <w:rPr>
          <w:rFonts w:ascii="Verdana" w:hAnsi="Verdana"/>
          <w:sz w:val="16"/>
          <w:szCs w:val="16"/>
        </w:rPr>
        <w:t>.</w:t>
      </w:r>
      <w:proofErr w:type="gramEnd"/>
      <w:r>
        <w:rPr>
          <w:rFonts w:ascii="Verdana" w:hAnsi="Verdana"/>
          <w:sz w:val="16"/>
          <w:szCs w:val="16"/>
        </w:rPr>
        <w:t xml:space="preserve"> </w:t>
      </w:r>
      <w:r w:rsidRPr="002F649F">
        <w:rPr>
          <w:rFonts w:ascii="Verdana" w:hAnsi="Verdana"/>
          <w:i/>
          <w:sz w:val="16"/>
          <w:szCs w:val="16"/>
        </w:rPr>
        <w:t>Excepciones Preliminares, Fondo, Reparaciones y Costas.</w:t>
      </w:r>
      <w:r w:rsidRPr="002F649F">
        <w:rPr>
          <w:rFonts w:ascii="Verdana" w:hAnsi="Verdana"/>
          <w:sz w:val="16"/>
          <w:szCs w:val="16"/>
        </w:rPr>
        <w:t xml:space="preserve"> Sentencia de 21 d</w:t>
      </w:r>
      <w:r>
        <w:rPr>
          <w:rFonts w:ascii="Verdana" w:hAnsi="Verdana"/>
          <w:sz w:val="16"/>
          <w:szCs w:val="16"/>
        </w:rPr>
        <w:t>e mayo de 2013. Serie C No. 261</w:t>
      </w:r>
      <w:r w:rsidRPr="002F649F">
        <w:rPr>
          <w:rFonts w:ascii="Verdana" w:hAnsi="Verdana"/>
          <w:sz w:val="16"/>
          <w:szCs w:val="16"/>
        </w:rPr>
        <w:t>:</w:t>
      </w:r>
      <w:r w:rsidRPr="002F649F">
        <w:rPr>
          <w:rFonts w:ascii="Verdana" w:hAnsi="Verdana"/>
          <w:sz w:val="16"/>
          <w:szCs w:val="16"/>
          <w:lang w:val="es-CR"/>
        </w:rPr>
        <w:t xml:space="preserve"> “</w:t>
      </w:r>
      <w:r w:rsidRPr="002F649F">
        <w:rPr>
          <w:rFonts w:ascii="Verdana" w:hAnsi="Verdana"/>
          <w:sz w:val="16"/>
          <w:szCs w:val="16"/>
        </w:rPr>
        <w:t xml:space="preserve">En similar sentido, en el </w:t>
      </w:r>
      <w:r w:rsidRPr="002F649F">
        <w:rPr>
          <w:rFonts w:ascii="Verdana" w:hAnsi="Verdana"/>
          <w:i/>
          <w:sz w:val="16"/>
          <w:szCs w:val="16"/>
        </w:rPr>
        <w:t xml:space="preserve">Caso </w:t>
      </w:r>
      <w:proofErr w:type="spellStart"/>
      <w:r w:rsidRPr="002F649F">
        <w:rPr>
          <w:rFonts w:ascii="Verdana" w:hAnsi="Verdana"/>
          <w:i/>
          <w:sz w:val="16"/>
          <w:szCs w:val="16"/>
        </w:rPr>
        <w:t>Gelman</w:t>
      </w:r>
      <w:proofErr w:type="spellEnd"/>
      <w:r w:rsidRPr="002F649F">
        <w:rPr>
          <w:rFonts w:ascii="Verdana" w:hAnsi="Verdana"/>
          <w:i/>
          <w:sz w:val="16"/>
          <w:szCs w:val="16"/>
        </w:rPr>
        <w:t xml:space="preserve"> Vs. Uruguay</w:t>
      </w:r>
      <w:r w:rsidRPr="002F649F">
        <w:rPr>
          <w:rFonts w:ascii="Verdana" w:hAnsi="Verdana"/>
          <w:sz w:val="16"/>
          <w:szCs w:val="16"/>
        </w:rPr>
        <w:t xml:space="preserve">, la Corte desarrolló el denominado derecho a la identidad (el cual no se encuentra expresamente contemplado en la Convención Americana) sobre la base de lo dispuesto en el artículo 8 de la Convención sobre Derechos del Niño, que establece que tal derecho comprende, entre otros, el derecho a la nacionalidad, al nombre y a las relaciones de familia. De esta forma, las alegadas violaciones a los derechos reconocidos por los artículos 3, 17, 18, 19 y 20 de la Convención fueron interpretadas de acuerdo con el </w:t>
      </w:r>
      <w:r w:rsidRPr="002F649F">
        <w:rPr>
          <w:rFonts w:ascii="Verdana" w:hAnsi="Verdana"/>
          <w:i/>
          <w:sz w:val="16"/>
          <w:szCs w:val="16"/>
        </w:rPr>
        <w:t>corpus iuris</w:t>
      </w:r>
      <w:r w:rsidRPr="002F649F">
        <w:rPr>
          <w:rFonts w:ascii="Verdana" w:hAnsi="Verdana"/>
          <w:sz w:val="16"/>
          <w:szCs w:val="16"/>
        </w:rPr>
        <w:t xml:space="preserve"> del derecho de la niñez, en especial con los artículos 7, 8, 9, 11, 16 y 18 de la Convención sobre los Derechos del Niño”. </w:t>
      </w:r>
      <w:r w:rsidRPr="002F649F">
        <w:rPr>
          <w:rFonts w:ascii="Verdana" w:hAnsi="Verdana"/>
          <w:i/>
          <w:sz w:val="16"/>
          <w:szCs w:val="16"/>
        </w:rPr>
        <w:t>Cfr.</w:t>
      </w:r>
      <w:r w:rsidRPr="002F649F">
        <w:rPr>
          <w:rFonts w:ascii="Verdana" w:hAnsi="Verdana"/>
          <w:sz w:val="16"/>
          <w:szCs w:val="16"/>
        </w:rPr>
        <w:t xml:space="preserve"> Corte IDH. </w:t>
      </w:r>
      <w:r w:rsidRPr="002F649F">
        <w:rPr>
          <w:rFonts w:ascii="Verdana" w:hAnsi="Verdana"/>
          <w:i/>
          <w:sz w:val="16"/>
          <w:szCs w:val="16"/>
        </w:rPr>
        <w:t xml:space="preserve">Caso </w:t>
      </w:r>
      <w:proofErr w:type="spellStart"/>
      <w:r w:rsidRPr="002F649F">
        <w:rPr>
          <w:rFonts w:ascii="Verdana" w:hAnsi="Verdana"/>
          <w:i/>
          <w:sz w:val="16"/>
          <w:szCs w:val="16"/>
        </w:rPr>
        <w:t>Gelman</w:t>
      </w:r>
      <w:proofErr w:type="spellEnd"/>
      <w:r w:rsidRPr="002F649F">
        <w:rPr>
          <w:rFonts w:ascii="Verdana" w:hAnsi="Verdana"/>
          <w:i/>
          <w:sz w:val="16"/>
          <w:szCs w:val="16"/>
        </w:rPr>
        <w:t xml:space="preserve"> Vs. Uruguay</w:t>
      </w:r>
      <w:r w:rsidRPr="002F649F">
        <w:rPr>
          <w:rFonts w:ascii="Verdana" w:hAnsi="Verdana"/>
          <w:sz w:val="16"/>
          <w:szCs w:val="16"/>
        </w:rPr>
        <w:t xml:space="preserve">. </w:t>
      </w:r>
      <w:r w:rsidRPr="002F649F">
        <w:rPr>
          <w:rFonts w:ascii="Verdana" w:hAnsi="Verdana"/>
          <w:i/>
          <w:sz w:val="16"/>
          <w:szCs w:val="16"/>
        </w:rPr>
        <w:t>Fondo y Reparaciones</w:t>
      </w:r>
      <w:r w:rsidRPr="002F649F">
        <w:rPr>
          <w:rFonts w:ascii="Verdana" w:hAnsi="Verdana"/>
          <w:sz w:val="16"/>
          <w:szCs w:val="16"/>
        </w:rPr>
        <w:t>. Sentencia de 24 de febrero de 2011, S</w:t>
      </w:r>
      <w:r>
        <w:rPr>
          <w:rFonts w:ascii="Verdana" w:hAnsi="Verdana"/>
          <w:sz w:val="16"/>
          <w:szCs w:val="16"/>
        </w:rPr>
        <w:t xml:space="preserve">erie C No.221, </w:t>
      </w:r>
      <w:proofErr w:type="spellStart"/>
      <w:r>
        <w:rPr>
          <w:rFonts w:ascii="Verdana" w:hAnsi="Verdana"/>
          <w:sz w:val="16"/>
          <w:szCs w:val="16"/>
        </w:rPr>
        <w:t>párrs</w:t>
      </w:r>
      <w:proofErr w:type="spellEnd"/>
      <w:r>
        <w:rPr>
          <w:rFonts w:ascii="Verdana" w:hAnsi="Verdana"/>
          <w:sz w:val="16"/>
          <w:szCs w:val="16"/>
        </w:rPr>
        <w:t>. 121 y 122</w:t>
      </w:r>
      <w:r w:rsidRPr="002F649F">
        <w:rPr>
          <w:rFonts w:ascii="Verdana" w:hAnsi="Verdana"/>
          <w:sz w:val="16"/>
          <w:szCs w:val="16"/>
        </w:rPr>
        <w:t xml:space="preserve">. </w:t>
      </w:r>
    </w:p>
  </w:footnote>
  <w:footnote w:id="117">
    <w:p w14:paraId="3DBB10A2" w14:textId="77777777" w:rsidR="0046241E" w:rsidRDefault="0046241E" w:rsidP="002F649F">
      <w:pPr>
        <w:pStyle w:val="FootnoteText"/>
        <w:jc w:val="both"/>
        <w:rPr>
          <w:rFonts w:ascii="Verdana" w:hAnsi="Verdana"/>
          <w:sz w:val="16"/>
          <w:szCs w:val="16"/>
          <w:highlight w:val="yellow"/>
        </w:rPr>
      </w:pPr>
    </w:p>
    <w:p w14:paraId="6278870F" w14:textId="7D4D62D1" w:rsidR="0046241E" w:rsidRPr="00751774" w:rsidRDefault="0046241E" w:rsidP="002F649F">
      <w:pPr>
        <w:pStyle w:val="FootnoteText"/>
        <w:jc w:val="both"/>
        <w:rPr>
          <w:rFonts w:ascii="Verdana" w:hAnsi="Verdana" w:cs="Verdana"/>
          <w:bCs/>
          <w:sz w:val="16"/>
          <w:szCs w:val="16"/>
        </w:rPr>
      </w:pPr>
      <w:r w:rsidRPr="00751774">
        <w:rPr>
          <w:rStyle w:val="FootnoteReference"/>
          <w:rFonts w:ascii="Verdana" w:hAnsi="Verdana"/>
          <w:sz w:val="16"/>
          <w:szCs w:val="16"/>
        </w:rPr>
        <w:footnoteRef/>
      </w:r>
      <w:r w:rsidRPr="00751774">
        <w:rPr>
          <w:rFonts w:ascii="Verdana" w:hAnsi="Verdana"/>
          <w:sz w:val="16"/>
          <w:szCs w:val="16"/>
        </w:rPr>
        <w:t xml:space="preserve"> </w:t>
      </w:r>
      <w:r w:rsidRPr="00751774">
        <w:rPr>
          <w:rFonts w:ascii="Verdana" w:hAnsi="Verdana"/>
          <w:sz w:val="16"/>
          <w:szCs w:val="16"/>
        </w:rPr>
        <w:tab/>
      </w:r>
      <w:r>
        <w:rPr>
          <w:rFonts w:ascii="Verdana" w:hAnsi="Verdana"/>
          <w:sz w:val="16"/>
          <w:szCs w:val="16"/>
        </w:rPr>
        <w:t xml:space="preserve">La </w:t>
      </w:r>
      <w:r w:rsidRPr="00751774">
        <w:rPr>
          <w:rFonts w:ascii="Verdana" w:hAnsi="Verdana"/>
          <w:sz w:val="16"/>
          <w:szCs w:val="16"/>
        </w:rPr>
        <w:t>Corte IDH</w:t>
      </w:r>
      <w:r>
        <w:rPr>
          <w:rFonts w:ascii="Verdana" w:hAnsi="Verdana"/>
          <w:sz w:val="16"/>
          <w:szCs w:val="16"/>
        </w:rPr>
        <w:t xml:space="preserve"> ha declarado violado en diversas ocasiones el “derecho a la verdad” o el “derecho a conocer la verdad”</w:t>
      </w:r>
      <w:r w:rsidRPr="00751774">
        <w:rPr>
          <w:rFonts w:ascii="Verdana" w:hAnsi="Verdana"/>
          <w:sz w:val="16"/>
          <w:szCs w:val="16"/>
        </w:rPr>
        <w:t xml:space="preserve">. </w:t>
      </w:r>
      <w:r w:rsidRPr="00751774">
        <w:rPr>
          <w:rFonts w:ascii="Verdana" w:hAnsi="Verdana"/>
          <w:i/>
          <w:sz w:val="16"/>
          <w:szCs w:val="16"/>
        </w:rPr>
        <w:t>Cfr.</w:t>
      </w:r>
      <w:r>
        <w:rPr>
          <w:rFonts w:ascii="Verdana" w:hAnsi="Verdana"/>
          <w:sz w:val="16"/>
          <w:szCs w:val="16"/>
        </w:rPr>
        <w:t xml:space="preserve"> </w:t>
      </w:r>
      <w:r w:rsidRPr="00751774">
        <w:rPr>
          <w:rFonts w:ascii="Verdana" w:hAnsi="Verdana" w:cs="Verdana"/>
          <w:bCs/>
          <w:i/>
          <w:sz w:val="16"/>
          <w:szCs w:val="16"/>
        </w:rPr>
        <w:t xml:space="preserve">Caso Gomes </w:t>
      </w:r>
      <w:proofErr w:type="spellStart"/>
      <w:r w:rsidRPr="00751774">
        <w:rPr>
          <w:rFonts w:ascii="Verdana" w:hAnsi="Verdana" w:cs="Verdana"/>
          <w:bCs/>
          <w:i/>
          <w:sz w:val="16"/>
          <w:szCs w:val="16"/>
        </w:rPr>
        <w:t>Lund</w:t>
      </w:r>
      <w:proofErr w:type="spellEnd"/>
      <w:r w:rsidRPr="00751774">
        <w:rPr>
          <w:rFonts w:ascii="Verdana" w:hAnsi="Verdana" w:cs="Verdana"/>
          <w:bCs/>
          <w:i/>
          <w:sz w:val="16"/>
          <w:szCs w:val="16"/>
        </w:rPr>
        <w:t xml:space="preserve"> y otros ("</w:t>
      </w:r>
      <w:proofErr w:type="spellStart"/>
      <w:r w:rsidRPr="00751774">
        <w:rPr>
          <w:rFonts w:ascii="Verdana" w:hAnsi="Verdana" w:cs="Verdana"/>
          <w:bCs/>
          <w:i/>
          <w:sz w:val="16"/>
          <w:szCs w:val="16"/>
        </w:rPr>
        <w:t>Guerrilha</w:t>
      </w:r>
      <w:proofErr w:type="spellEnd"/>
      <w:r w:rsidRPr="00751774">
        <w:rPr>
          <w:rFonts w:ascii="Verdana" w:hAnsi="Verdana" w:cs="Verdana"/>
          <w:bCs/>
          <w:i/>
          <w:sz w:val="16"/>
          <w:szCs w:val="16"/>
        </w:rPr>
        <w:t xml:space="preserve"> do </w:t>
      </w:r>
      <w:proofErr w:type="spellStart"/>
      <w:r w:rsidRPr="00751774">
        <w:rPr>
          <w:rFonts w:ascii="Verdana" w:hAnsi="Verdana" w:cs="Verdana"/>
          <w:bCs/>
          <w:i/>
          <w:sz w:val="16"/>
          <w:szCs w:val="16"/>
        </w:rPr>
        <w:t>Araguaia</w:t>
      </w:r>
      <w:proofErr w:type="spellEnd"/>
      <w:r w:rsidRPr="00751774">
        <w:rPr>
          <w:rFonts w:ascii="Verdana" w:hAnsi="Verdana" w:cs="Verdana"/>
          <w:bCs/>
          <w:i/>
          <w:sz w:val="16"/>
          <w:szCs w:val="16"/>
        </w:rPr>
        <w:t>") Vs. Brasil. Excepciones Preliminares, Fondo, Reparaciones y Costas.</w:t>
      </w:r>
      <w:r w:rsidRPr="00751774">
        <w:rPr>
          <w:rFonts w:ascii="Verdana" w:hAnsi="Verdana" w:cs="Verdana"/>
          <w:bCs/>
          <w:sz w:val="16"/>
          <w:szCs w:val="16"/>
        </w:rPr>
        <w:t xml:space="preserve"> Sentencia de 24 de noviembre de 2010. Serie C No. 219; </w:t>
      </w:r>
      <w:r w:rsidRPr="00751774">
        <w:rPr>
          <w:rFonts w:ascii="Verdana" w:hAnsi="Verdana" w:cs="Verdana"/>
          <w:bCs/>
          <w:i/>
          <w:sz w:val="16"/>
          <w:szCs w:val="16"/>
        </w:rPr>
        <w:t>Caso Comunidad Campesina de Santa Bárbara Vs. Perú. Excepciones Preliminares, Fondo, Reparaciones y Costas</w:t>
      </w:r>
      <w:r w:rsidRPr="00751774">
        <w:rPr>
          <w:rFonts w:ascii="Verdana" w:hAnsi="Verdana" w:cs="Verdana"/>
          <w:bCs/>
          <w:sz w:val="16"/>
          <w:szCs w:val="16"/>
        </w:rPr>
        <w:t xml:space="preserve">. Sentencia de 01 de septiembre de 2015. Serie C No. 299; </w:t>
      </w:r>
      <w:r w:rsidRPr="00751774">
        <w:rPr>
          <w:rFonts w:ascii="Verdana" w:hAnsi="Verdana" w:cs="Verdana"/>
          <w:bCs/>
          <w:i/>
          <w:sz w:val="16"/>
          <w:szCs w:val="16"/>
        </w:rPr>
        <w:t>Caso Tenorio Roca y otros Vs. Perú. Excepciones Preliminares, Fondo, Reparaciones y Costas</w:t>
      </w:r>
      <w:r w:rsidRPr="00751774">
        <w:rPr>
          <w:rFonts w:ascii="Verdana" w:hAnsi="Verdana" w:cs="Verdana"/>
          <w:bCs/>
          <w:sz w:val="16"/>
          <w:szCs w:val="16"/>
        </w:rPr>
        <w:t>. Sentencia de 22 de junio de 2016. Serie C No. 314.</w:t>
      </w:r>
      <w:r w:rsidRPr="00751774">
        <w:rPr>
          <w:rFonts w:ascii="Verdana" w:hAnsi="Verdana"/>
          <w:sz w:val="16"/>
          <w:szCs w:val="16"/>
        </w:rPr>
        <w:t xml:space="preserve"> </w:t>
      </w:r>
      <w:r>
        <w:rPr>
          <w:rFonts w:ascii="Verdana" w:hAnsi="Verdana"/>
          <w:sz w:val="16"/>
          <w:szCs w:val="16"/>
        </w:rPr>
        <w:t>Sobre la necesidad y viabilidad de declarar la violación autónoma de este derecho, véase</w:t>
      </w:r>
      <w:r w:rsidRPr="00751774">
        <w:rPr>
          <w:rFonts w:ascii="Verdana" w:hAnsi="Verdana"/>
          <w:sz w:val="16"/>
          <w:szCs w:val="16"/>
        </w:rPr>
        <w:t xml:space="preserve">: el Voto concurrente que emití </w:t>
      </w:r>
      <w:r w:rsidRPr="00751774">
        <w:rPr>
          <w:rFonts w:ascii="Verdana" w:hAnsi="Verdana"/>
          <w:i/>
          <w:sz w:val="16"/>
          <w:szCs w:val="16"/>
        </w:rPr>
        <w:t xml:space="preserve">al Caso </w:t>
      </w:r>
      <w:r w:rsidRPr="00751774">
        <w:rPr>
          <w:rFonts w:ascii="Verdana" w:hAnsi="Verdana" w:cs="Verdana"/>
          <w:bCs/>
          <w:i/>
          <w:sz w:val="16"/>
          <w:szCs w:val="16"/>
        </w:rPr>
        <w:t>Rodríguez Vera y otros (Desaparecidos del Palacio de Justicia) Vs. Colombia. Excepciones Preliminares, Fondo, Reparaciones y Costas</w:t>
      </w:r>
      <w:r w:rsidRPr="00751774">
        <w:rPr>
          <w:rFonts w:ascii="Verdana" w:hAnsi="Verdana" w:cs="Verdana"/>
          <w:bCs/>
          <w:sz w:val="16"/>
          <w:szCs w:val="16"/>
        </w:rPr>
        <w:t>. Sentencia de 14 de noviembre de 2014. Serie C No. 287.</w:t>
      </w:r>
    </w:p>
    <w:p w14:paraId="2D2AABF9" w14:textId="77777777" w:rsidR="0046241E" w:rsidRPr="002F649F" w:rsidRDefault="0046241E" w:rsidP="002F649F">
      <w:pPr>
        <w:pStyle w:val="FootnoteText"/>
        <w:jc w:val="both"/>
        <w:rPr>
          <w:rFonts w:ascii="Verdana" w:hAnsi="Verdana"/>
          <w:sz w:val="16"/>
          <w:szCs w:val="16"/>
          <w:highlight w:val="yellow"/>
        </w:rPr>
      </w:pPr>
    </w:p>
  </w:footnote>
  <w:footnote w:id="118">
    <w:p w14:paraId="44E22E67" w14:textId="09725519" w:rsidR="0046241E" w:rsidRPr="002F649F" w:rsidRDefault="0046241E" w:rsidP="002F649F">
      <w:pPr>
        <w:pStyle w:val="FootnoteText"/>
        <w:jc w:val="both"/>
        <w:rPr>
          <w:rFonts w:ascii="Verdana" w:hAnsi="Verdana"/>
          <w:sz w:val="16"/>
          <w:szCs w:val="16"/>
          <w:lang w:val="es-ES_tradnl"/>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i/>
          <w:sz w:val="16"/>
          <w:szCs w:val="16"/>
        </w:rPr>
        <w:t>Cfr.</w:t>
      </w:r>
      <w:r w:rsidRPr="002F649F">
        <w:rPr>
          <w:rFonts w:ascii="Verdana" w:hAnsi="Verdana"/>
          <w:sz w:val="16"/>
          <w:szCs w:val="16"/>
        </w:rPr>
        <w:t xml:space="preserve"> </w:t>
      </w:r>
      <w:r w:rsidRPr="002F649F">
        <w:rPr>
          <w:rFonts w:ascii="Verdana" w:eastAsia="Calibri" w:hAnsi="Verdana"/>
          <w:sz w:val="16"/>
          <w:szCs w:val="16"/>
          <w:lang w:val="es-CR"/>
        </w:rPr>
        <w:t xml:space="preserve">Corte IDH. </w:t>
      </w:r>
      <w:r w:rsidRPr="002F649F">
        <w:rPr>
          <w:rStyle w:val="Strong"/>
          <w:rFonts w:ascii="Verdana" w:hAnsi="Verdana"/>
          <w:b w:val="0"/>
          <w:i/>
          <w:sz w:val="16"/>
          <w:szCs w:val="16"/>
        </w:rPr>
        <w:t xml:space="preserve">Caso del Pueblo </w:t>
      </w:r>
      <w:proofErr w:type="spellStart"/>
      <w:r w:rsidRPr="002F649F">
        <w:rPr>
          <w:rStyle w:val="Strong"/>
          <w:rFonts w:ascii="Verdana" w:hAnsi="Verdana"/>
          <w:b w:val="0"/>
          <w:i/>
          <w:sz w:val="16"/>
          <w:szCs w:val="16"/>
        </w:rPr>
        <w:t>Saramaka</w:t>
      </w:r>
      <w:proofErr w:type="spellEnd"/>
      <w:r w:rsidRPr="002F649F">
        <w:rPr>
          <w:rStyle w:val="Strong"/>
          <w:rFonts w:ascii="Verdana" w:hAnsi="Verdana"/>
          <w:b w:val="0"/>
          <w:i/>
          <w:sz w:val="16"/>
          <w:szCs w:val="16"/>
        </w:rPr>
        <w:t xml:space="preserve"> Vs. Surinam. Excepciones Preliminares, Fondo, Reparaciones y Costas.</w:t>
      </w:r>
      <w:r w:rsidRPr="002F649F">
        <w:rPr>
          <w:rStyle w:val="Strong"/>
          <w:rFonts w:ascii="Verdana" w:hAnsi="Verdana"/>
          <w:b w:val="0"/>
          <w:sz w:val="16"/>
          <w:szCs w:val="16"/>
        </w:rPr>
        <w:t xml:space="preserve"> Sentencia de 28 de noviembre de 2007. Serie C No. 172; </w:t>
      </w:r>
      <w:r w:rsidRPr="002F649F">
        <w:rPr>
          <w:rFonts w:ascii="Verdana" w:hAnsi="Verdana" w:cs="Verdana"/>
          <w:bCs/>
          <w:i/>
          <w:sz w:val="16"/>
          <w:szCs w:val="16"/>
        </w:rPr>
        <w:t xml:space="preserve">Caso Pueblo Indígena </w:t>
      </w:r>
      <w:proofErr w:type="spellStart"/>
      <w:r w:rsidRPr="002F649F">
        <w:rPr>
          <w:rFonts w:ascii="Verdana" w:hAnsi="Verdana" w:cs="Verdana"/>
          <w:bCs/>
          <w:i/>
          <w:sz w:val="16"/>
          <w:szCs w:val="16"/>
        </w:rPr>
        <w:t>Kichwa</w:t>
      </w:r>
      <w:proofErr w:type="spellEnd"/>
      <w:r w:rsidRPr="002F649F">
        <w:rPr>
          <w:rFonts w:ascii="Verdana" w:hAnsi="Verdana" w:cs="Verdana"/>
          <w:bCs/>
          <w:i/>
          <w:sz w:val="16"/>
          <w:szCs w:val="16"/>
        </w:rPr>
        <w:t xml:space="preserve"> de </w:t>
      </w:r>
      <w:proofErr w:type="spellStart"/>
      <w:r w:rsidRPr="002F649F">
        <w:rPr>
          <w:rFonts w:ascii="Verdana" w:hAnsi="Verdana" w:cs="Verdana"/>
          <w:bCs/>
          <w:i/>
          <w:sz w:val="16"/>
          <w:szCs w:val="16"/>
        </w:rPr>
        <w:t>Sarayaku</w:t>
      </w:r>
      <w:proofErr w:type="spellEnd"/>
      <w:r w:rsidRPr="002F649F">
        <w:rPr>
          <w:rFonts w:ascii="Verdana" w:hAnsi="Verdana" w:cs="Verdana"/>
          <w:bCs/>
          <w:i/>
          <w:sz w:val="16"/>
          <w:szCs w:val="16"/>
        </w:rPr>
        <w:t xml:space="preserve"> Vs. Ecuador. Fondo y reparaciones. </w:t>
      </w:r>
      <w:r w:rsidRPr="002F649F">
        <w:rPr>
          <w:rFonts w:ascii="Verdana" w:hAnsi="Verdana" w:cs="Verdana"/>
          <w:bCs/>
          <w:sz w:val="16"/>
          <w:szCs w:val="16"/>
        </w:rPr>
        <w:t xml:space="preserve">Sentencia de 27 de junio de 2012. Serie C No. 245; </w:t>
      </w:r>
      <w:r w:rsidRPr="002F649F">
        <w:rPr>
          <w:rStyle w:val="Strong"/>
          <w:rFonts w:ascii="Verdana" w:hAnsi="Verdana"/>
          <w:b w:val="0"/>
          <w:i/>
          <w:sz w:val="16"/>
          <w:szCs w:val="16"/>
        </w:rPr>
        <w:t>Caso Comunidad Garífuna de Punta Piedra y sus miembros Vs. Honduras.</w:t>
      </w:r>
      <w:r w:rsidRPr="002F649F">
        <w:rPr>
          <w:rStyle w:val="Strong"/>
          <w:rFonts w:ascii="Verdana" w:hAnsi="Verdana"/>
          <w:b w:val="0"/>
          <w:sz w:val="16"/>
          <w:szCs w:val="16"/>
        </w:rPr>
        <w:t xml:space="preserve"> </w:t>
      </w:r>
      <w:r w:rsidRPr="002F649F">
        <w:rPr>
          <w:rStyle w:val="Strong"/>
          <w:rFonts w:ascii="Verdana" w:hAnsi="Verdana"/>
          <w:b w:val="0"/>
          <w:i/>
          <w:sz w:val="16"/>
          <w:szCs w:val="16"/>
        </w:rPr>
        <w:t>Excepciones Preliminares, Fondo, Reparaciones y Costas</w:t>
      </w:r>
      <w:r w:rsidRPr="002F649F">
        <w:rPr>
          <w:rStyle w:val="Strong"/>
          <w:rFonts w:ascii="Verdana" w:hAnsi="Verdana"/>
          <w:b w:val="0"/>
          <w:sz w:val="16"/>
          <w:szCs w:val="16"/>
        </w:rPr>
        <w:t xml:space="preserve">. Sentencia de 08 de octubre de 2015. Serie C No. 304; </w:t>
      </w:r>
      <w:r w:rsidRPr="002F649F">
        <w:rPr>
          <w:rStyle w:val="Strong"/>
          <w:rFonts w:ascii="Verdana" w:hAnsi="Verdana"/>
          <w:b w:val="0"/>
          <w:i/>
          <w:sz w:val="16"/>
          <w:szCs w:val="16"/>
        </w:rPr>
        <w:t>Caso Comunidad Garífuna Triunfo de la Cruz y sus miembros Vs. Honduras. Fondo, Reparaciones y Costas</w:t>
      </w:r>
      <w:r w:rsidRPr="002F649F">
        <w:rPr>
          <w:rStyle w:val="Strong"/>
          <w:rFonts w:ascii="Verdana" w:hAnsi="Verdana"/>
          <w:b w:val="0"/>
          <w:sz w:val="16"/>
          <w:szCs w:val="16"/>
        </w:rPr>
        <w:t xml:space="preserve">. Sentencia de 08 de octubre de 2015. Serie C No. 305 y </w:t>
      </w:r>
      <w:r w:rsidRPr="002F649F">
        <w:rPr>
          <w:rFonts w:ascii="Verdana" w:hAnsi="Verdana" w:cs="Verdana"/>
          <w:bCs/>
          <w:i/>
          <w:sz w:val="16"/>
          <w:szCs w:val="16"/>
        </w:rPr>
        <w:t xml:space="preserve">Caso Pueblos </w:t>
      </w:r>
      <w:proofErr w:type="spellStart"/>
      <w:r w:rsidRPr="002F649F">
        <w:rPr>
          <w:rFonts w:ascii="Verdana" w:hAnsi="Verdana" w:cs="Verdana"/>
          <w:bCs/>
          <w:i/>
          <w:sz w:val="16"/>
          <w:szCs w:val="16"/>
        </w:rPr>
        <w:t>Kaliña</w:t>
      </w:r>
      <w:proofErr w:type="spellEnd"/>
      <w:r w:rsidRPr="002F649F">
        <w:rPr>
          <w:rFonts w:ascii="Verdana" w:hAnsi="Verdana" w:cs="Verdana"/>
          <w:bCs/>
          <w:i/>
          <w:sz w:val="16"/>
          <w:szCs w:val="16"/>
        </w:rPr>
        <w:t xml:space="preserve"> y </w:t>
      </w:r>
      <w:proofErr w:type="spellStart"/>
      <w:r w:rsidRPr="002F649F">
        <w:rPr>
          <w:rFonts w:ascii="Verdana" w:hAnsi="Verdana" w:cs="Verdana"/>
          <w:bCs/>
          <w:i/>
          <w:sz w:val="16"/>
          <w:szCs w:val="16"/>
        </w:rPr>
        <w:t>Lokono</w:t>
      </w:r>
      <w:proofErr w:type="spellEnd"/>
      <w:r w:rsidRPr="002F649F">
        <w:rPr>
          <w:rFonts w:ascii="Verdana" w:hAnsi="Verdana" w:cs="Verdana"/>
          <w:bCs/>
          <w:i/>
          <w:sz w:val="16"/>
          <w:szCs w:val="16"/>
        </w:rPr>
        <w:t xml:space="preserve"> Vs. Surinam. Fondo, Reparaciones y Costas.</w:t>
      </w:r>
      <w:r w:rsidRPr="002F649F">
        <w:rPr>
          <w:rFonts w:ascii="Verdana" w:hAnsi="Verdana" w:cs="Verdana"/>
          <w:bCs/>
          <w:sz w:val="16"/>
          <w:szCs w:val="16"/>
        </w:rPr>
        <w:t xml:space="preserve"> Sentencia de 25 de noviembre de 2015. Serie C No. 309. </w:t>
      </w:r>
    </w:p>
    <w:p w14:paraId="341B0B19" w14:textId="77777777" w:rsidR="0046241E" w:rsidRPr="002F649F" w:rsidRDefault="0046241E" w:rsidP="002F649F">
      <w:pPr>
        <w:pStyle w:val="FootnoteText"/>
        <w:jc w:val="both"/>
        <w:rPr>
          <w:rFonts w:ascii="Verdana" w:hAnsi="Verdana"/>
          <w:sz w:val="16"/>
          <w:szCs w:val="16"/>
          <w:lang w:val="es-ES_tradnl"/>
        </w:rPr>
      </w:pPr>
    </w:p>
  </w:footnote>
  <w:footnote w:id="119">
    <w:p w14:paraId="563068ED" w14:textId="4F951186" w:rsidR="0046241E" w:rsidRDefault="0046241E" w:rsidP="002F649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P</w:t>
      </w:r>
      <w:proofErr w:type="spellStart"/>
      <w:r w:rsidRPr="002F649F">
        <w:rPr>
          <w:rFonts w:ascii="Verdana" w:hAnsi="Verdana"/>
          <w:sz w:val="16"/>
          <w:szCs w:val="16"/>
          <w:lang w:val="es-CR"/>
        </w:rPr>
        <w:t>ueden</w:t>
      </w:r>
      <w:proofErr w:type="spellEnd"/>
      <w:r w:rsidRPr="002F649F">
        <w:rPr>
          <w:rFonts w:ascii="Verdana" w:hAnsi="Verdana"/>
          <w:sz w:val="16"/>
          <w:szCs w:val="16"/>
          <w:lang w:val="es-CR"/>
        </w:rPr>
        <w:t xml:space="preserve"> cotejarse múltiples decisiones de la Corte IDH, desde su primera decisión de fondo</w:t>
      </w:r>
      <w:r>
        <w:rPr>
          <w:rFonts w:ascii="Verdana" w:hAnsi="Verdana"/>
          <w:sz w:val="16"/>
          <w:szCs w:val="16"/>
          <w:lang w:val="es-CR"/>
        </w:rPr>
        <w:t>.</w:t>
      </w:r>
      <w:r w:rsidRPr="002F649F">
        <w:rPr>
          <w:rFonts w:ascii="Verdana" w:hAnsi="Verdana"/>
          <w:sz w:val="16"/>
          <w:szCs w:val="16"/>
          <w:lang w:val="es-CR"/>
        </w:rPr>
        <w:t xml:space="preserve"> </w:t>
      </w:r>
      <w:r>
        <w:rPr>
          <w:rFonts w:ascii="Verdana" w:hAnsi="Verdana"/>
          <w:sz w:val="16"/>
          <w:szCs w:val="16"/>
          <w:lang w:val="es-CR"/>
        </w:rPr>
        <w:t xml:space="preserve">Corte IDH. </w:t>
      </w:r>
      <w:r w:rsidRPr="002F649F">
        <w:rPr>
          <w:rFonts w:ascii="Verdana" w:hAnsi="Verdana"/>
          <w:i/>
          <w:sz w:val="16"/>
          <w:szCs w:val="16"/>
          <w:lang w:val="es-CR"/>
        </w:rPr>
        <w:t xml:space="preserve">Caso Velásquez </w:t>
      </w:r>
      <w:r w:rsidRPr="00F957B8">
        <w:rPr>
          <w:rFonts w:ascii="Verdana" w:hAnsi="Verdana"/>
          <w:i/>
          <w:sz w:val="16"/>
          <w:szCs w:val="16"/>
          <w:lang w:val="es-CR"/>
        </w:rPr>
        <w:t>Rodríguez Vs. Honduras. Fondo.</w:t>
      </w:r>
      <w:r w:rsidRPr="00F957B8">
        <w:rPr>
          <w:rFonts w:ascii="Verdana" w:hAnsi="Verdana"/>
          <w:sz w:val="16"/>
          <w:szCs w:val="16"/>
          <w:lang w:val="es-CR"/>
        </w:rPr>
        <w:t xml:space="preserve"> Sentencia de 29 de julio de 1988. Serie C No. 4, </w:t>
      </w:r>
      <w:proofErr w:type="spellStart"/>
      <w:r w:rsidRPr="00F957B8">
        <w:rPr>
          <w:rFonts w:ascii="Verdana" w:hAnsi="Verdana"/>
          <w:sz w:val="16"/>
          <w:szCs w:val="16"/>
          <w:lang w:val="es-CR"/>
        </w:rPr>
        <w:t>párrs</w:t>
      </w:r>
      <w:proofErr w:type="spellEnd"/>
      <w:r w:rsidRPr="00F957B8">
        <w:rPr>
          <w:rFonts w:ascii="Verdana" w:hAnsi="Verdana"/>
          <w:sz w:val="16"/>
          <w:szCs w:val="16"/>
          <w:lang w:val="es-CR"/>
        </w:rPr>
        <w:t>. 176 y 177; hasta los párrafos 2</w:t>
      </w:r>
      <w:r>
        <w:rPr>
          <w:rFonts w:ascii="Verdana" w:hAnsi="Verdana"/>
          <w:sz w:val="16"/>
          <w:szCs w:val="16"/>
          <w:lang w:val="es-CR"/>
        </w:rPr>
        <w:t>79 y 2</w:t>
      </w:r>
      <w:r w:rsidRPr="00F957B8">
        <w:rPr>
          <w:rFonts w:ascii="Verdana" w:hAnsi="Verdana"/>
          <w:sz w:val="16"/>
          <w:szCs w:val="16"/>
          <w:lang w:val="es-CR"/>
        </w:rPr>
        <w:t>8</w:t>
      </w:r>
      <w:r>
        <w:rPr>
          <w:rFonts w:ascii="Verdana" w:hAnsi="Verdana"/>
          <w:sz w:val="16"/>
          <w:szCs w:val="16"/>
          <w:lang w:val="es-CR"/>
        </w:rPr>
        <w:t>0</w:t>
      </w:r>
      <w:r w:rsidRPr="00F957B8">
        <w:rPr>
          <w:rFonts w:ascii="Verdana" w:hAnsi="Verdana"/>
          <w:sz w:val="16"/>
          <w:szCs w:val="16"/>
          <w:lang w:val="es-CR"/>
        </w:rPr>
        <w:t xml:space="preserve"> de</w:t>
      </w:r>
      <w:r w:rsidRPr="002F649F">
        <w:rPr>
          <w:rFonts w:ascii="Verdana" w:hAnsi="Verdana"/>
          <w:sz w:val="16"/>
          <w:szCs w:val="16"/>
          <w:lang w:val="es-CR"/>
        </w:rPr>
        <w:t xml:space="preserve"> la Sentencia a la que concurre este voto. </w:t>
      </w:r>
    </w:p>
    <w:p w14:paraId="3BF26AD9" w14:textId="77777777" w:rsidR="0046241E" w:rsidRPr="002F649F" w:rsidRDefault="0046241E" w:rsidP="002F649F">
      <w:pPr>
        <w:pStyle w:val="FootnoteText"/>
        <w:jc w:val="both"/>
        <w:rPr>
          <w:rFonts w:ascii="Verdana" w:hAnsi="Verdana"/>
          <w:sz w:val="16"/>
          <w:szCs w:val="16"/>
          <w:lang w:val="es-CR"/>
        </w:rPr>
      </w:pPr>
    </w:p>
  </w:footnote>
  <w:footnote w:id="120">
    <w:p w14:paraId="5B32F348" w14:textId="672C76D3" w:rsidR="0046241E" w:rsidRPr="002F649F" w:rsidRDefault="0046241E" w:rsidP="002F649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La cita es a las siguientes sentencias: </w:t>
      </w:r>
      <w:r w:rsidRPr="002F649F">
        <w:rPr>
          <w:rFonts w:ascii="Verdana" w:hAnsi="Verdana"/>
          <w:i/>
          <w:sz w:val="16"/>
          <w:szCs w:val="16"/>
        </w:rPr>
        <w:t>Caso Cantos Vs. Argentina.</w:t>
      </w:r>
      <w:r w:rsidRPr="002F649F">
        <w:rPr>
          <w:rFonts w:ascii="Verdana" w:hAnsi="Verdana" w:cs="Arial"/>
          <w:i/>
          <w:color w:val="262626"/>
          <w:sz w:val="16"/>
          <w:szCs w:val="16"/>
        </w:rPr>
        <w:t xml:space="preserve"> Fondo, Reparaciones y Costas</w:t>
      </w:r>
      <w:r w:rsidRPr="002F649F">
        <w:rPr>
          <w:rFonts w:ascii="Verdana" w:hAnsi="Verdana" w:cs="Arial"/>
          <w:color w:val="262626"/>
          <w:sz w:val="16"/>
          <w:szCs w:val="16"/>
        </w:rPr>
        <w:t>. Sentencia de 28 de Noviembre de 2002, Serie C No. 97,</w:t>
      </w:r>
      <w:r w:rsidRPr="002F649F">
        <w:rPr>
          <w:rFonts w:ascii="Verdana" w:hAnsi="Verdana"/>
          <w:sz w:val="16"/>
          <w:szCs w:val="16"/>
        </w:rPr>
        <w:t xml:space="preserve"> párr. 58; </w:t>
      </w:r>
      <w:r w:rsidRPr="002F649F">
        <w:rPr>
          <w:rFonts w:ascii="Verdana" w:hAnsi="Verdana"/>
          <w:i/>
          <w:sz w:val="16"/>
          <w:szCs w:val="16"/>
        </w:rPr>
        <w:t xml:space="preserve">Caso Castillo </w:t>
      </w:r>
      <w:proofErr w:type="spellStart"/>
      <w:r w:rsidRPr="002F649F">
        <w:rPr>
          <w:rFonts w:ascii="Verdana" w:hAnsi="Verdana"/>
          <w:i/>
          <w:sz w:val="16"/>
          <w:szCs w:val="16"/>
        </w:rPr>
        <w:t>Petruzzi</w:t>
      </w:r>
      <w:proofErr w:type="spellEnd"/>
      <w:r w:rsidRPr="002F649F">
        <w:rPr>
          <w:rFonts w:ascii="Verdana" w:hAnsi="Verdana"/>
          <w:i/>
          <w:sz w:val="16"/>
          <w:szCs w:val="16"/>
        </w:rPr>
        <w:t xml:space="preserve"> y otros Vs. Perú</w:t>
      </w:r>
      <w:r w:rsidRPr="002F649F">
        <w:rPr>
          <w:rFonts w:ascii="Verdana" w:hAnsi="Verdana"/>
          <w:sz w:val="16"/>
          <w:szCs w:val="16"/>
        </w:rPr>
        <w:t xml:space="preserve">. </w:t>
      </w:r>
      <w:r w:rsidRPr="002F649F">
        <w:rPr>
          <w:rFonts w:ascii="Verdana" w:hAnsi="Verdana"/>
          <w:i/>
          <w:sz w:val="16"/>
          <w:szCs w:val="16"/>
        </w:rPr>
        <w:t>Fondo, Reparaciones y Costas.</w:t>
      </w:r>
      <w:r w:rsidRPr="002F649F">
        <w:rPr>
          <w:rFonts w:ascii="Verdana" w:hAnsi="Verdana"/>
          <w:sz w:val="16"/>
          <w:szCs w:val="16"/>
        </w:rPr>
        <w:t xml:space="preserve"> Sentencia de 30 de mayo de 1999. Serie C No. 52, párr. 166, y</w:t>
      </w:r>
      <w:r w:rsidRPr="002F649F">
        <w:rPr>
          <w:rFonts w:ascii="Verdana" w:hAnsi="Verdana"/>
          <w:i/>
          <w:sz w:val="16"/>
          <w:szCs w:val="16"/>
        </w:rPr>
        <w:t xml:space="preserve"> Caso </w:t>
      </w:r>
      <w:proofErr w:type="spellStart"/>
      <w:r w:rsidRPr="002F649F">
        <w:rPr>
          <w:rFonts w:ascii="Verdana" w:hAnsi="Verdana"/>
          <w:i/>
          <w:sz w:val="16"/>
          <w:szCs w:val="16"/>
        </w:rPr>
        <w:t>Kimel</w:t>
      </w:r>
      <w:proofErr w:type="spellEnd"/>
      <w:r w:rsidRPr="002F649F">
        <w:rPr>
          <w:rFonts w:ascii="Verdana" w:hAnsi="Verdana"/>
          <w:i/>
          <w:sz w:val="16"/>
          <w:szCs w:val="16"/>
        </w:rPr>
        <w:t xml:space="preserve"> Vs. Argentina. Fondo, Reparaciones y Costas.</w:t>
      </w:r>
      <w:r w:rsidRPr="002F649F">
        <w:rPr>
          <w:rFonts w:ascii="Verdana" w:hAnsi="Verdana"/>
          <w:sz w:val="16"/>
          <w:szCs w:val="16"/>
        </w:rPr>
        <w:t xml:space="preserve"> Sentencia de 2 de mayo de 2008, Serie C No. 177, párr. </w:t>
      </w:r>
      <w:r w:rsidRPr="002F649F">
        <w:rPr>
          <w:rFonts w:ascii="Verdana" w:hAnsi="Verdana"/>
          <w:sz w:val="16"/>
          <w:szCs w:val="16"/>
          <w:lang w:val="es-CR"/>
        </w:rPr>
        <w:t>61.</w:t>
      </w:r>
    </w:p>
  </w:footnote>
  <w:footnote w:id="121">
    <w:p w14:paraId="0B937944" w14:textId="77777777" w:rsidR="0046241E" w:rsidRDefault="0046241E" w:rsidP="002F649F">
      <w:pPr>
        <w:pStyle w:val="FootnoteText"/>
        <w:jc w:val="both"/>
        <w:rPr>
          <w:rFonts w:ascii="Verdana" w:hAnsi="Verdana"/>
          <w:sz w:val="16"/>
          <w:szCs w:val="16"/>
        </w:rPr>
      </w:pPr>
    </w:p>
    <w:p w14:paraId="4CABF7E2" w14:textId="1B34F699"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Voto concurrente respecto de la Sentencia de la Corte IDH en el </w:t>
      </w:r>
      <w:r w:rsidRPr="002F649F">
        <w:rPr>
          <w:rFonts w:ascii="Verdana" w:hAnsi="Verdana"/>
          <w:i/>
          <w:sz w:val="16"/>
          <w:szCs w:val="16"/>
        </w:rPr>
        <w:t>Caso Suárez Peralta Vs. Ecuador</w:t>
      </w:r>
      <w:r w:rsidRPr="002F649F">
        <w:rPr>
          <w:rFonts w:ascii="Verdana" w:hAnsi="Verdana"/>
          <w:sz w:val="16"/>
          <w:szCs w:val="16"/>
        </w:rPr>
        <w:t xml:space="preserve"> (</w:t>
      </w:r>
      <w:r w:rsidRPr="002F649F">
        <w:rPr>
          <w:rFonts w:ascii="Verdana" w:hAnsi="Verdana"/>
          <w:i/>
          <w:sz w:val="16"/>
          <w:szCs w:val="16"/>
        </w:rPr>
        <w:t>Excepciones Preliminares, Fondo, Reparaciones y Costas.</w:t>
      </w:r>
      <w:r w:rsidRPr="002F649F">
        <w:rPr>
          <w:rFonts w:ascii="Verdana" w:hAnsi="Verdana"/>
          <w:sz w:val="16"/>
          <w:szCs w:val="16"/>
        </w:rPr>
        <w:t xml:space="preserve"> Sentencia de 21 de mayo de 2013. Serie C No. 261), </w:t>
      </w:r>
      <w:proofErr w:type="spellStart"/>
      <w:r w:rsidRPr="002F649F">
        <w:rPr>
          <w:rFonts w:ascii="Verdana" w:hAnsi="Verdana"/>
          <w:sz w:val="16"/>
          <w:szCs w:val="16"/>
        </w:rPr>
        <w:t>párrs</w:t>
      </w:r>
      <w:proofErr w:type="spellEnd"/>
      <w:r w:rsidRPr="002F649F">
        <w:rPr>
          <w:rFonts w:ascii="Verdana" w:hAnsi="Verdana"/>
          <w:sz w:val="16"/>
          <w:szCs w:val="16"/>
        </w:rPr>
        <w:t xml:space="preserve"> 92 a 94. Además de los precedentes citados en la nota anterior, de modo más reciente la Corte ha hecho uso del principio </w:t>
      </w:r>
      <w:proofErr w:type="spellStart"/>
      <w:r w:rsidRPr="00F957B8">
        <w:rPr>
          <w:rFonts w:ascii="Verdana" w:hAnsi="Verdana"/>
          <w:i/>
          <w:sz w:val="16"/>
          <w:szCs w:val="16"/>
        </w:rPr>
        <w:t>iura</w:t>
      </w:r>
      <w:proofErr w:type="spellEnd"/>
      <w:r w:rsidRPr="002F649F">
        <w:rPr>
          <w:rFonts w:ascii="Verdana" w:hAnsi="Verdana"/>
          <w:i/>
          <w:sz w:val="16"/>
          <w:szCs w:val="16"/>
        </w:rPr>
        <w:t xml:space="preserve"> </w:t>
      </w:r>
      <w:proofErr w:type="spellStart"/>
      <w:r w:rsidRPr="002F649F">
        <w:rPr>
          <w:rFonts w:ascii="Verdana" w:hAnsi="Verdana"/>
          <w:i/>
          <w:sz w:val="16"/>
          <w:szCs w:val="16"/>
        </w:rPr>
        <w:t>novit</w:t>
      </w:r>
      <w:proofErr w:type="spellEnd"/>
      <w:r w:rsidRPr="002F649F">
        <w:rPr>
          <w:rFonts w:ascii="Verdana" w:hAnsi="Verdana"/>
          <w:i/>
          <w:sz w:val="16"/>
          <w:szCs w:val="16"/>
        </w:rPr>
        <w:t xml:space="preserve"> </w:t>
      </w:r>
      <w:proofErr w:type="gramStart"/>
      <w:r w:rsidRPr="002F649F">
        <w:rPr>
          <w:rFonts w:ascii="Verdana" w:hAnsi="Verdana"/>
          <w:i/>
          <w:sz w:val="16"/>
          <w:szCs w:val="16"/>
        </w:rPr>
        <w:t>curia</w:t>
      </w:r>
      <w:r>
        <w:rPr>
          <w:rFonts w:ascii="Verdana" w:hAnsi="Verdana"/>
          <w:i/>
          <w:sz w:val="16"/>
          <w:szCs w:val="16"/>
        </w:rPr>
        <w:t xml:space="preserve"> :</w:t>
      </w:r>
      <w:proofErr w:type="gramEnd"/>
      <w:r>
        <w:rPr>
          <w:rFonts w:ascii="Verdana" w:hAnsi="Verdana"/>
          <w:i/>
          <w:sz w:val="16"/>
          <w:szCs w:val="16"/>
        </w:rPr>
        <w:t xml:space="preserve"> C</w:t>
      </w:r>
      <w:r w:rsidRPr="002F649F">
        <w:rPr>
          <w:rFonts w:ascii="Verdana" w:hAnsi="Verdana"/>
          <w:i/>
          <w:sz w:val="16"/>
          <w:szCs w:val="16"/>
        </w:rPr>
        <w:t>fr.</w:t>
      </w:r>
      <w:r w:rsidRPr="002F649F">
        <w:rPr>
          <w:rFonts w:ascii="Verdana" w:hAnsi="Verdana"/>
          <w:sz w:val="16"/>
          <w:szCs w:val="16"/>
        </w:rPr>
        <w:t xml:space="preserve"> </w:t>
      </w:r>
      <w:r w:rsidRPr="002F649F">
        <w:rPr>
          <w:rFonts w:ascii="Verdana" w:hAnsi="Verdana"/>
          <w:i/>
          <w:iCs/>
          <w:sz w:val="16"/>
          <w:szCs w:val="16"/>
        </w:rPr>
        <w:t xml:space="preserve">Caso de personas dominicanas y haitianas expulsadas Vs. República Dominicana. Excepciones Preliminares, Fondo, Reparaciones y Costas. </w:t>
      </w:r>
      <w:r w:rsidRPr="002F649F">
        <w:rPr>
          <w:rFonts w:ascii="Verdana" w:hAnsi="Verdana"/>
          <w:sz w:val="16"/>
          <w:szCs w:val="16"/>
        </w:rPr>
        <w:t xml:space="preserve">Sentencia de 28 de agosto de </w:t>
      </w:r>
      <w:r>
        <w:rPr>
          <w:rFonts w:ascii="Verdana" w:hAnsi="Verdana"/>
          <w:sz w:val="16"/>
          <w:szCs w:val="16"/>
        </w:rPr>
        <w:t>2014. Serie C No.282, párr. 305</w:t>
      </w:r>
      <w:r w:rsidRPr="002F649F">
        <w:rPr>
          <w:rFonts w:ascii="Verdana" w:hAnsi="Verdana"/>
          <w:sz w:val="16"/>
          <w:szCs w:val="16"/>
        </w:rPr>
        <w:t xml:space="preserve"> o </w:t>
      </w:r>
      <w:r w:rsidRPr="002F649F">
        <w:rPr>
          <w:rFonts w:ascii="Verdana" w:hAnsi="Verdana"/>
          <w:i/>
          <w:sz w:val="16"/>
          <w:szCs w:val="16"/>
        </w:rPr>
        <w:t xml:space="preserve">Caso Pueblos </w:t>
      </w:r>
      <w:proofErr w:type="spellStart"/>
      <w:r w:rsidRPr="002F649F">
        <w:rPr>
          <w:rFonts w:ascii="Verdana" w:hAnsi="Verdana"/>
          <w:i/>
          <w:sz w:val="16"/>
          <w:szCs w:val="16"/>
        </w:rPr>
        <w:t>Kaliña</w:t>
      </w:r>
      <w:proofErr w:type="spellEnd"/>
      <w:r w:rsidRPr="002F649F">
        <w:rPr>
          <w:rFonts w:ascii="Verdana" w:hAnsi="Verdana"/>
          <w:i/>
          <w:sz w:val="16"/>
          <w:szCs w:val="16"/>
        </w:rPr>
        <w:t xml:space="preserve"> y </w:t>
      </w:r>
      <w:proofErr w:type="spellStart"/>
      <w:r w:rsidRPr="002F649F">
        <w:rPr>
          <w:rFonts w:ascii="Verdana" w:hAnsi="Verdana"/>
          <w:i/>
          <w:sz w:val="16"/>
          <w:szCs w:val="16"/>
        </w:rPr>
        <w:t>Lokono</w:t>
      </w:r>
      <w:proofErr w:type="spellEnd"/>
      <w:r w:rsidRPr="002F649F">
        <w:rPr>
          <w:rFonts w:ascii="Verdana" w:hAnsi="Verdana"/>
          <w:i/>
          <w:sz w:val="16"/>
          <w:szCs w:val="16"/>
        </w:rPr>
        <w:t xml:space="preserve"> Vs. Surinam. Fondo, Reparaciones y Costas.</w:t>
      </w:r>
      <w:r w:rsidRPr="002F649F">
        <w:rPr>
          <w:rFonts w:ascii="Verdana" w:hAnsi="Verdana"/>
          <w:sz w:val="16"/>
          <w:szCs w:val="16"/>
        </w:rPr>
        <w:t xml:space="preserve"> Sentencia de 25 de noviembre de 2015. Serie C No. 309, párr. 126. </w:t>
      </w:r>
    </w:p>
  </w:footnote>
  <w:footnote w:id="122">
    <w:p w14:paraId="7B55FC04" w14:textId="77777777" w:rsidR="0046241E" w:rsidRDefault="0046241E" w:rsidP="002F649F">
      <w:pPr>
        <w:pStyle w:val="FootnoteText"/>
        <w:jc w:val="both"/>
        <w:rPr>
          <w:rFonts w:ascii="Verdana" w:hAnsi="Verdana"/>
          <w:sz w:val="16"/>
          <w:szCs w:val="16"/>
        </w:rPr>
      </w:pPr>
    </w:p>
    <w:p w14:paraId="7DEEA1AA" w14:textId="7E54AF28"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lang w:val="es-ES_tradnl"/>
        </w:rPr>
        <w:tab/>
      </w:r>
      <w:r w:rsidRPr="002F649F">
        <w:rPr>
          <w:rFonts w:ascii="Verdana" w:hAnsi="Verdana"/>
          <w:i/>
          <w:sz w:val="16"/>
          <w:szCs w:val="16"/>
        </w:rPr>
        <w:t>Cfr.</w:t>
      </w:r>
      <w:r w:rsidRPr="002F649F">
        <w:rPr>
          <w:rFonts w:ascii="Verdana" w:hAnsi="Verdana"/>
          <w:sz w:val="16"/>
          <w:szCs w:val="16"/>
        </w:rPr>
        <w:t xml:space="preserve"> Corte IDH. </w:t>
      </w:r>
      <w:r w:rsidRPr="002F649F">
        <w:rPr>
          <w:rFonts w:ascii="Verdana" w:hAnsi="Verdana"/>
          <w:i/>
          <w:sz w:val="16"/>
          <w:szCs w:val="16"/>
        </w:rPr>
        <w:t xml:space="preserve">Caso </w:t>
      </w:r>
      <w:proofErr w:type="spellStart"/>
      <w:r w:rsidRPr="002F649F">
        <w:rPr>
          <w:rFonts w:ascii="Verdana" w:hAnsi="Verdana"/>
          <w:i/>
          <w:sz w:val="16"/>
          <w:szCs w:val="16"/>
        </w:rPr>
        <w:t>Yarce</w:t>
      </w:r>
      <w:proofErr w:type="spellEnd"/>
      <w:r w:rsidRPr="002F649F">
        <w:rPr>
          <w:rFonts w:ascii="Verdana" w:hAnsi="Verdana"/>
          <w:i/>
          <w:sz w:val="16"/>
          <w:szCs w:val="16"/>
        </w:rPr>
        <w:t xml:space="preserve"> y otras Vs. Colombia. Excepción Preliminar, Fondo, Reparaciones y Costas.</w:t>
      </w:r>
      <w:r w:rsidRPr="002F649F">
        <w:rPr>
          <w:rFonts w:ascii="Verdana" w:hAnsi="Verdana"/>
          <w:sz w:val="16"/>
          <w:szCs w:val="16"/>
        </w:rPr>
        <w:t xml:space="preserve"> Sentencia de 22 de noviembre de  2016, Serie C </w:t>
      </w:r>
      <w:r>
        <w:rPr>
          <w:rFonts w:ascii="Verdana" w:hAnsi="Verdana"/>
          <w:sz w:val="16"/>
          <w:szCs w:val="16"/>
        </w:rPr>
        <w:t>No. 325</w:t>
      </w:r>
      <w:r w:rsidRPr="002F649F">
        <w:rPr>
          <w:rFonts w:ascii="Verdana" w:hAnsi="Verdana"/>
          <w:sz w:val="16"/>
          <w:szCs w:val="16"/>
        </w:rPr>
        <w:t>, párr. 2</w:t>
      </w:r>
      <w:r>
        <w:rPr>
          <w:rFonts w:ascii="Verdana" w:hAnsi="Verdana"/>
          <w:sz w:val="16"/>
          <w:szCs w:val="16"/>
        </w:rPr>
        <w:t>59</w:t>
      </w:r>
      <w:r w:rsidRPr="002F649F">
        <w:rPr>
          <w:rFonts w:ascii="Verdana" w:hAnsi="Verdana"/>
          <w:sz w:val="16"/>
          <w:szCs w:val="16"/>
        </w:rPr>
        <w:t>.</w:t>
      </w:r>
    </w:p>
    <w:p w14:paraId="46BCF9CF" w14:textId="77777777" w:rsidR="0046241E" w:rsidRPr="002F649F" w:rsidRDefault="0046241E" w:rsidP="002F649F">
      <w:pPr>
        <w:pStyle w:val="FootnoteText"/>
        <w:jc w:val="both"/>
        <w:rPr>
          <w:rFonts w:ascii="Verdana" w:hAnsi="Verdana"/>
          <w:sz w:val="16"/>
          <w:szCs w:val="16"/>
          <w:lang w:val="es-ES_tradnl"/>
        </w:rPr>
      </w:pPr>
    </w:p>
  </w:footnote>
  <w:footnote w:id="123">
    <w:p w14:paraId="7758F704" w14:textId="08AA741A" w:rsidR="0046241E" w:rsidRPr="002F649F" w:rsidRDefault="0046241E" w:rsidP="002F649F">
      <w:pPr>
        <w:pStyle w:val="FootnoteText"/>
        <w:jc w:val="both"/>
        <w:rPr>
          <w:rFonts w:ascii="Verdana" w:hAnsi="Verdana"/>
          <w:sz w:val="16"/>
          <w:szCs w:val="16"/>
          <w:lang w:val="es-ES_tradnl"/>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i/>
          <w:sz w:val="16"/>
          <w:szCs w:val="16"/>
        </w:rPr>
        <w:t>Cfr.</w:t>
      </w:r>
      <w:r w:rsidRPr="002F649F">
        <w:rPr>
          <w:rFonts w:ascii="Verdana" w:hAnsi="Verdana"/>
          <w:sz w:val="16"/>
          <w:szCs w:val="16"/>
        </w:rPr>
        <w:t xml:space="preserve"> Corte IDH. </w:t>
      </w:r>
      <w:r w:rsidRPr="002F649F">
        <w:rPr>
          <w:rFonts w:ascii="Verdana" w:hAnsi="Verdana"/>
          <w:i/>
          <w:sz w:val="16"/>
          <w:szCs w:val="16"/>
        </w:rPr>
        <w:t xml:space="preserve">Caso </w:t>
      </w:r>
      <w:proofErr w:type="spellStart"/>
      <w:r w:rsidRPr="002F649F">
        <w:rPr>
          <w:rFonts w:ascii="Verdana" w:hAnsi="Verdana"/>
          <w:i/>
          <w:sz w:val="16"/>
          <w:szCs w:val="16"/>
        </w:rPr>
        <w:t>Yarce</w:t>
      </w:r>
      <w:proofErr w:type="spellEnd"/>
      <w:r w:rsidRPr="002F649F">
        <w:rPr>
          <w:rFonts w:ascii="Verdana" w:hAnsi="Verdana"/>
          <w:i/>
          <w:sz w:val="16"/>
          <w:szCs w:val="16"/>
        </w:rPr>
        <w:t xml:space="preserve"> y otras Vs. Colombia. Excepción Preliminar, Fondo, Reparaciones y Costas.</w:t>
      </w:r>
      <w:r w:rsidRPr="002F649F">
        <w:rPr>
          <w:rFonts w:ascii="Verdana" w:hAnsi="Verdana"/>
          <w:sz w:val="16"/>
          <w:szCs w:val="16"/>
        </w:rPr>
        <w:t xml:space="preserve"> S</w:t>
      </w:r>
      <w:r>
        <w:rPr>
          <w:rFonts w:ascii="Verdana" w:hAnsi="Verdana"/>
          <w:sz w:val="16"/>
          <w:szCs w:val="16"/>
        </w:rPr>
        <w:t xml:space="preserve">entencia de 22 de noviembre de </w:t>
      </w:r>
      <w:r w:rsidRPr="002F649F">
        <w:rPr>
          <w:rFonts w:ascii="Verdana" w:hAnsi="Verdana"/>
          <w:sz w:val="16"/>
          <w:szCs w:val="16"/>
        </w:rPr>
        <w:t xml:space="preserve">2016, Serie C </w:t>
      </w:r>
      <w:r>
        <w:rPr>
          <w:rFonts w:ascii="Verdana" w:hAnsi="Verdana"/>
          <w:sz w:val="16"/>
          <w:szCs w:val="16"/>
        </w:rPr>
        <w:t>No. 325</w:t>
      </w:r>
      <w:r w:rsidRPr="002F649F">
        <w:rPr>
          <w:rFonts w:ascii="Verdana" w:hAnsi="Verdana"/>
          <w:sz w:val="16"/>
          <w:szCs w:val="16"/>
        </w:rPr>
        <w:t>, párr. 107.</w:t>
      </w:r>
    </w:p>
  </w:footnote>
  <w:footnote w:id="124">
    <w:p w14:paraId="55E82320" w14:textId="77777777" w:rsidR="0046241E" w:rsidRPr="002F649F" w:rsidRDefault="0046241E" w:rsidP="002F649F">
      <w:pPr>
        <w:pStyle w:val="FootnoteText"/>
        <w:jc w:val="both"/>
        <w:rPr>
          <w:rFonts w:ascii="Verdana" w:hAnsi="Verdana"/>
          <w:sz w:val="16"/>
          <w:szCs w:val="16"/>
        </w:rPr>
      </w:pPr>
    </w:p>
    <w:p w14:paraId="45985619" w14:textId="74001CE9" w:rsidR="0046241E"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i/>
          <w:sz w:val="16"/>
          <w:szCs w:val="16"/>
        </w:rPr>
        <w:t>Cfr.</w:t>
      </w:r>
      <w:r w:rsidRPr="002F649F">
        <w:rPr>
          <w:rFonts w:ascii="Verdana" w:hAnsi="Verdana"/>
          <w:sz w:val="16"/>
          <w:szCs w:val="16"/>
        </w:rPr>
        <w:t xml:space="preserve"> Corte IDH. </w:t>
      </w:r>
      <w:r w:rsidRPr="002F649F">
        <w:rPr>
          <w:rFonts w:ascii="Verdana" w:hAnsi="Verdana"/>
          <w:i/>
          <w:sz w:val="16"/>
          <w:szCs w:val="16"/>
        </w:rPr>
        <w:t xml:space="preserve">Caso </w:t>
      </w:r>
      <w:proofErr w:type="spellStart"/>
      <w:r w:rsidRPr="002F649F">
        <w:rPr>
          <w:rFonts w:ascii="Verdana" w:hAnsi="Verdana"/>
          <w:i/>
          <w:sz w:val="16"/>
          <w:szCs w:val="16"/>
        </w:rPr>
        <w:t>Yarce</w:t>
      </w:r>
      <w:proofErr w:type="spellEnd"/>
      <w:r w:rsidRPr="002F649F">
        <w:rPr>
          <w:rFonts w:ascii="Verdana" w:hAnsi="Verdana"/>
          <w:i/>
          <w:sz w:val="16"/>
          <w:szCs w:val="16"/>
        </w:rPr>
        <w:t xml:space="preserve"> y otras Vs. Colombia. Excepción Preliminar, Fondo, Reparaciones y Costas.</w:t>
      </w:r>
      <w:r w:rsidRPr="002F649F">
        <w:rPr>
          <w:rFonts w:ascii="Verdana" w:hAnsi="Verdana"/>
          <w:sz w:val="16"/>
          <w:szCs w:val="16"/>
        </w:rPr>
        <w:t xml:space="preserve"> Sentencia de 22 de noviembre de  2016, Serie C </w:t>
      </w:r>
      <w:r>
        <w:rPr>
          <w:rFonts w:ascii="Verdana" w:hAnsi="Verdana"/>
          <w:sz w:val="16"/>
          <w:szCs w:val="16"/>
        </w:rPr>
        <w:t>No. 325</w:t>
      </w:r>
      <w:r w:rsidRPr="002F649F">
        <w:rPr>
          <w:rFonts w:ascii="Verdana" w:hAnsi="Verdana"/>
          <w:sz w:val="16"/>
          <w:szCs w:val="16"/>
        </w:rPr>
        <w:t>, párr.</w:t>
      </w:r>
      <w:r>
        <w:rPr>
          <w:rFonts w:ascii="Verdana" w:hAnsi="Verdana"/>
          <w:sz w:val="16"/>
          <w:szCs w:val="16"/>
        </w:rPr>
        <w:t xml:space="preserve"> </w:t>
      </w:r>
      <w:r w:rsidRPr="002F6466">
        <w:rPr>
          <w:rFonts w:ascii="Verdana" w:hAnsi="Verdana"/>
          <w:sz w:val="16"/>
          <w:szCs w:val="16"/>
        </w:rPr>
        <w:t>22</w:t>
      </w:r>
      <w:r>
        <w:rPr>
          <w:rFonts w:ascii="Verdana" w:hAnsi="Verdana"/>
          <w:sz w:val="16"/>
          <w:szCs w:val="16"/>
        </w:rPr>
        <w:t>8</w:t>
      </w:r>
      <w:r w:rsidRPr="002F6466">
        <w:rPr>
          <w:rFonts w:ascii="Verdana" w:hAnsi="Verdana"/>
          <w:sz w:val="16"/>
          <w:szCs w:val="16"/>
        </w:rPr>
        <w:t>.</w:t>
      </w:r>
    </w:p>
    <w:p w14:paraId="433B26A6" w14:textId="77777777" w:rsidR="0046241E" w:rsidRPr="002F649F" w:rsidRDefault="0046241E" w:rsidP="002F649F">
      <w:pPr>
        <w:pStyle w:val="FootnoteText"/>
        <w:jc w:val="both"/>
        <w:rPr>
          <w:rFonts w:ascii="Verdana" w:hAnsi="Verdana"/>
          <w:sz w:val="16"/>
          <w:szCs w:val="16"/>
          <w:lang w:val="es-ES_tradnl"/>
        </w:rPr>
      </w:pPr>
    </w:p>
  </w:footnote>
  <w:footnote w:id="125">
    <w:p w14:paraId="5C68F990" w14:textId="43620F81"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i/>
          <w:sz w:val="16"/>
          <w:szCs w:val="16"/>
        </w:rPr>
        <w:t>Cfr.</w:t>
      </w:r>
      <w:r w:rsidRPr="002F649F">
        <w:rPr>
          <w:rFonts w:ascii="Verdana" w:hAnsi="Verdana"/>
          <w:sz w:val="16"/>
          <w:szCs w:val="16"/>
        </w:rPr>
        <w:t xml:space="preserve"> Corte IDH. </w:t>
      </w:r>
      <w:r w:rsidRPr="002F649F">
        <w:rPr>
          <w:rFonts w:ascii="Verdana" w:hAnsi="Verdana"/>
          <w:i/>
          <w:sz w:val="16"/>
          <w:szCs w:val="16"/>
        </w:rPr>
        <w:t xml:space="preserve">Caso </w:t>
      </w:r>
      <w:proofErr w:type="spellStart"/>
      <w:r w:rsidRPr="002F649F">
        <w:rPr>
          <w:rFonts w:ascii="Verdana" w:hAnsi="Verdana"/>
          <w:i/>
          <w:sz w:val="16"/>
          <w:szCs w:val="16"/>
        </w:rPr>
        <w:t>Yarce</w:t>
      </w:r>
      <w:proofErr w:type="spellEnd"/>
      <w:r w:rsidRPr="002F649F">
        <w:rPr>
          <w:rFonts w:ascii="Verdana" w:hAnsi="Verdana"/>
          <w:i/>
          <w:sz w:val="16"/>
          <w:szCs w:val="16"/>
        </w:rPr>
        <w:t xml:space="preserve"> y otras Vs. Colombia. Excepción Preliminar, Fondo, Reparaciones y Costas.</w:t>
      </w:r>
      <w:r w:rsidRPr="002F649F">
        <w:rPr>
          <w:rFonts w:ascii="Verdana" w:hAnsi="Verdana"/>
          <w:sz w:val="16"/>
          <w:szCs w:val="16"/>
        </w:rPr>
        <w:t xml:space="preserve"> Sentencia de 22 de noviembre de  2016, Serie C </w:t>
      </w:r>
      <w:r>
        <w:rPr>
          <w:rFonts w:ascii="Verdana" w:hAnsi="Verdana"/>
          <w:sz w:val="16"/>
          <w:szCs w:val="16"/>
        </w:rPr>
        <w:t xml:space="preserve">No. 325, </w:t>
      </w:r>
      <w:r w:rsidRPr="00DB01B1">
        <w:rPr>
          <w:rFonts w:ascii="Verdana" w:hAnsi="Verdana"/>
          <w:sz w:val="16"/>
          <w:szCs w:val="16"/>
        </w:rPr>
        <w:t>párr. 2</w:t>
      </w:r>
      <w:r>
        <w:rPr>
          <w:rFonts w:ascii="Verdana" w:hAnsi="Verdana"/>
          <w:sz w:val="16"/>
          <w:szCs w:val="16"/>
        </w:rPr>
        <w:t>29</w:t>
      </w:r>
      <w:r w:rsidRPr="00DB01B1">
        <w:rPr>
          <w:rFonts w:ascii="Verdana" w:hAnsi="Verdana"/>
          <w:sz w:val="16"/>
          <w:szCs w:val="16"/>
        </w:rPr>
        <w:t>.</w:t>
      </w:r>
      <w:r w:rsidRPr="002F649F">
        <w:rPr>
          <w:rFonts w:ascii="Verdana" w:hAnsi="Verdana"/>
          <w:sz w:val="16"/>
          <w:szCs w:val="16"/>
        </w:rPr>
        <w:t xml:space="preserve"> </w:t>
      </w:r>
    </w:p>
    <w:p w14:paraId="423ADFC8" w14:textId="77777777" w:rsidR="0046241E" w:rsidRPr="002F649F" w:rsidRDefault="0046241E" w:rsidP="002F649F">
      <w:pPr>
        <w:pStyle w:val="FootnoteText"/>
        <w:jc w:val="both"/>
        <w:rPr>
          <w:rFonts w:ascii="Verdana" w:hAnsi="Verdana"/>
          <w:sz w:val="16"/>
          <w:szCs w:val="16"/>
          <w:lang w:val="es-ES_tradnl"/>
        </w:rPr>
      </w:pPr>
    </w:p>
  </w:footnote>
  <w:footnote w:id="126">
    <w:p w14:paraId="3CC0F3FC" w14:textId="3AAC08D7"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i/>
          <w:sz w:val="16"/>
          <w:szCs w:val="16"/>
        </w:rPr>
        <w:t>Cfr.</w:t>
      </w:r>
      <w:r w:rsidRPr="002F649F">
        <w:rPr>
          <w:rFonts w:ascii="Verdana" w:hAnsi="Verdana"/>
          <w:sz w:val="16"/>
          <w:szCs w:val="16"/>
        </w:rPr>
        <w:t xml:space="preserve"> Corte IDH. </w:t>
      </w:r>
      <w:r w:rsidRPr="002F649F">
        <w:rPr>
          <w:rFonts w:ascii="Verdana" w:hAnsi="Verdana"/>
          <w:i/>
          <w:sz w:val="16"/>
          <w:szCs w:val="16"/>
        </w:rPr>
        <w:t xml:space="preserve">Caso </w:t>
      </w:r>
      <w:proofErr w:type="spellStart"/>
      <w:r w:rsidRPr="002F649F">
        <w:rPr>
          <w:rFonts w:ascii="Verdana" w:hAnsi="Verdana"/>
          <w:i/>
          <w:sz w:val="16"/>
          <w:szCs w:val="16"/>
        </w:rPr>
        <w:t>Yarce</w:t>
      </w:r>
      <w:proofErr w:type="spellEnd"/>
      <w:r w:rsidRPr="002F649F">
        <w:rPr>
          <w:rFonts w:ascii="Verdana" w:hAnsi="Verdana"/>
          <w:i/>
          <w:sz w:val="16"/>
          <w:szCs w:val="16"/>
        </w:rPr>
        <w:t xml:space="preserve"> y otras Vs. Colombia. Excepción Preliminar, Fondo, Reparaciones y Costas.</w:t>
      </w:r>
      <w:r w:rsidRPr="002F649F">
        <w:rPr>
          <w:rFonts w:ascii="Verdana" w:hAnsi="Verdana"/>
          <w:sz w:val="16"/>
          <w:szCs w:val="16"/>
        </w:rPr>
        <w:t xml:space="preserve"> Sentencia de 22 de noviembre de  2016, Serie C </w:t>
      </w:r>
      <w:r>
        <w:rPr>
          <w:rFonts w:ascii="Verdana" w:hAnsi="Verdana"/>
          <w:sz w:val="16"/>
          <w:szCs w:val="16"/>
        </w:rPr>
        <w:t>No. 325</w:t>
      </w:r>
      <w:r w:rsidRPr="002F649F">
        <w:rPr>
          <w:rFonts w:ascii="Verdana" w:hAnsi="Verdana"/>
          <w:sz w:val="16"/>
          <w:szCs w:val="16"/>
        </w:rPr>
        <w:t xml:space="preserve">, </w:t>
      </w:r>
      <w:proofErr w:type="spellStart"/>
      <w:r w:rsidRPr="00DB01B1">
        <w:rPr>
          <w:rFonts w:ascii="Verdana" w:hAnsi="Verdana"/>
          <w:sz w:val="16"/>
          <w:szCs w:val="16"/>
        </w:rPr>
        <w:t>párrs</w:t>
      </w:r>
      <w:proofErr w:type="spellEnd"/>
      <w:r w:rsidRPr="00DB01B1">
        <w:rPr>
          <w:rFonts w:ascii="Verdana" w:hAnsi="Verdana"/>
          <w:sz w:val="16"/>
          <w:szCs w:val="16"/>
        </w:rPr>
        <w:t xml:space="preserve"> 23</w:t>
      </w:r>
      <w:r>
        <w:rPr>
          <w:rFonts w:ascii="Verdana" w:hAnsi="Verdana"/>
          <w:sz w:val="16"/>
          <w:szCs w:val="16"/>
        </w:rPr>
        <w:t>0</w:t>
      </w:r>
      <w:r w:rsidRPr="00DB01B1">
        <w:rPr>
          <w:rFonts w:ascii="Verdana" w:hAnsi="Verdana"/>
          <w:sz w:val="16"/>
          <w:szCs w:val="16"/>
        </w:rPr>
        <w:t xml:space="preserve"> y 23</w:t>
      </w:r>
      <w:r>
        <w:rPr>
          <w:rFonts w:ascii="Verdana" w:hAnsi="Verdana"/>
          <w:sz w:val="16"/>
          <w:szCs w:val="16"/>
        </w:rPr>
        <w:t>1</w:t>
      </w:r>
      <w:r w:rsidRPr="00DB01B1">
        <w:rPr>
          <w:rFonts w:ascii="Verdana" w:hAnsi="Verdana"/>
          <w:sz w:val="16"/>
          <w:szCs w:val="16"/>
        </w:rPr>
        <w:t>.</w:t>
      </w:r>
    </w:p>
    <w:p w14:paraId="515CEEBA" w14:textId="77777777" w:rsidR="0046241E" w:rsidRPr="002F649F" w:rsidRDefault="0046241E" w:rsidP="002F649F">
      <w:pPr>
        <w:pStyle w:val="FootnoteText"/>
        <w:jc w:val="both"/>
        <w:rPr>
          <w:rFonts w:ascii="Verdana" w:hAnsi="Verdana"/>
          <w:sz w:val="16"/>
          <w:szCs w:val="16"/>
          <w:lang w:val="es-ES_tradnl"/>
        </w:rPr>
      </w:pPr>
    </w:p>
  </w:footnote>
  <w:footnote w:id="127">
    <w:p w14:paraId="56CB6015" w14:textId="7E9120A6" w:rsidR="0046241E" w:rsidRPr="002F649F" w:rsidRDefault="0046241E" w:rsidP="002F649F">
      <w:pPr>
        <w:pStyle w:val="FootnoteText"/>
        <w:jc w:val="both"/>
        <w:rPr>
          <w:rFonts w:ascii="Verdana" w:hAnsi="Verdana"/>
          <w:sz w:val="16"/>
          <w:szCs w:val="16"/>
          <w:lang w:val="es-ES_tradnl"/>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lang w:val="es-ES_tradnl"/>
        </w:rPr>
        <w:tab/>
      </w:r>
      <w:r w:rsidRPr="002F649F">
        <w:rPr>
          <w:rFonts w:ascii="Verdana" w:hAnsi="Verdana"/>
          <w:i/>
          <w:sz w:val="16"/>
          <w:szCs w:val="16"/>
        </w:rPr>
        <w:t>Cfr.</w:t>
      </w:r>
      <w:r w:rsidRPr="002F649F">
        <w:rPr>
          <w:rFonts w:ascii="Verdana" w:hAnsi="Verdana"/>
          <w:sz w:val="16"/>
          <w:szCs w:val="16"/>
        </w:rPr>
        <w:t xml:space="preserve"> Corte IDH. </w:t>
      </w:r>
      <w:r w:rsidRPr="002F649F">
        <w:rPr>
          <w:rFonts w:ascii="Verdana" w:hAnsi="Verdana"/>
          <w:i/>
          <w:sz w:val="16"/>
          <w:szCs w:val="16"/>
        </w:rPr>
        <w:t xml:space="preserve">Caso </w:t>
      </w:r>
      <w:proofErr w:type="spellStart"/>
      <w:r w:rsidRPr="002F649F">
        <w:rPr>
          <w:rFonts w:ascii="Verdana" w:hAnsi="Verdana"/>
          <w:i/>
          <w:sz w:val="16"/>
          <w:szCs w:val="16"/>
        </w:rPr>
        <w:t>Yarce</w:t>
      </w:r>
      <w:proofErr w:type="spellEnd"/>
      <w:r w:rsidRPr="002F649F">
        <w:rPr>
          <w:rFonts w:ascii="Verdana" w:hAnsi="Verdana"/>
          <w:i/>
          <w:sz w:val="16"/>
          <w:szCs w:val="16"/>
        </w:rPr>
        <w:t xml:space="preserve"> y otras Vs. Colombia. Excepción Preliminar, Fondo, Reparaciones y Costas.</w:t>
      </w:r>
      <w:r w:rsidRPr="002F649F">
        <w:rPr>
          <w:rFonts w:ascii="Verdana" w:hAnsi="Verdana"/>
          <w:sz w:val="16"/>
          <w:szCs w:val="16"/>
        </w:rPr>
        <w:t xml:space="preserve"> Sentencia de 22 de noviembre de  2016, Serie C </w:t>
      </w:r>
      <w:r>
        <w:rPr>
          <w:rFonts w:ascii="Verdana" w:hAnsi="Verdana"/>
          <w:sz w:val="16"/>
          <w:szCs w:val="16"/>
        </w:rPr>
        <w:t>No. 325</w:t>
      </w:r>
      <w:r w:rsidRPr="001E6EBD">
        <w:rPr>
          <w:rFonts w:ascii="Verdana" w:hAnsi="Verdana"/>
          <w:sz w:val="16"/>
          <w:szCs w:val="16"/>
        </w:rPr>
        <w:t xml:space="preserve">, </w:t>
      </w:r>
      <w:r w:rsidRPr="00DB01B1">
        <w:rPr>
          <w:rFonts w:ascii="Verdana" w:hAnsi="Verdana"/>
          <w:sz w:val="16"/>
          <w:szCs w:val="16"/>
        </w:rPr>
        <w:t>párr. 109.</w:t>
      </w:r>
    </w:p>
  </w:footnote>
  <w:footnote w:id="128">
    <w:p w14:paraId="02EC3F7E" w14:textId="77777777" w:rsidR="0046241E" w:rsidRPr="002F649F" w:rsidRDefault="0046241E" w:rsidP="002F649F">
      <w:pPr>
        <w:pStyle w:val="FootnoteText"/>
        <w:jc w:val="both"/>
        <w:rPr>
          <w:rFonts w:ascii="Verdana" w:hAnsi="Verdana"/>
          <w:sz w:val="16"/>
          <w:szCs w:val="16"/>
        </w:rPr>
      </w:pPr>
    </w:p>
    <w:p w14:paraId="3C4C709B" w14:textId="0456F577"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i/>
          <w:sz w:val="16"/>
          <w:szCs w:val="16"/>
        </w:rPr>
        <w:t>Cfr.</w:t>
      </w:r>
      <w:r w:rsidRPr="002F649F">
        <w:rPr>
          <w:rFonts w:ascii="Verdana" w:hAnsi="Verdana"/>
          <w:sz w:val="16"/>
          <w:szCs w:val="16"/>
        </w:rPr>
        <w:t xml:space="preserve"> Corte IDH. </w:t>
      </w:r>
      <w:r w:rsidRPr="002F649F">
        <w:rPr>
          <w:rFonts w:ascii="Verdana" w:hAnsi="Verdana"/>
          <w:i/>
          <w:sz w:val="16"/>
          <w:szCs w:val="16"/>
        </w:rPr>
        <w:t xml:space="preserve">Caso </w:t>
      </w:r>
      <w:proofErr w:type="spellStart"/>
      <w:r w:rsidRPr="002F649F">
        <w:rPr>
          <w:rFonts w:ascii="Verdana" w:hAnsi="Verdana"/>
          <w:i/>
          <w:sz w:val="16"/>
          <w:szCs w:val="16"/>
        </w:rPr>
        <w:t>Yarce</w:t>
      </w:r>
      <w:proofErr w:type="spellEnd"/>
      <w:r w:rsidRPr="002F649F">
        <w:rPr>
          <w:rFonts w:ascii="Verdana" w:hAnsi="Verdana"/>
          <w:i/>
          <w:sz w:val="16"/>
          <w:szCs w:val="16"/>
        </w:rPr>
        <w:t xml:space="preserve"> y otras Vs. Colombia. Excepción Preliminar, Fondo, Reparaciones y Costas.</w:t>
      </w:r>
      <w:r w:rsidRPr="002F649F">
        <w:rPr>
          <w:rFonts w:ascii="Verdana" w:hAnsi="Verdana"/>
          <w:sz w:val="16"/>
          <w:szCs w:val="16"/>
        </w:rPr>
        <w:t xml:space="preserve"> Sentencia de 22 de noviembre de  2016, Serie C </w:t>
      </w:r>
      <w:r>
        <w:rPr>
          <w:rFonts w:ascii="Verdana" w:hAnsi="Verdana"/>
          <w:sz w:val="16"/>
          <w:szCs w:val="16"/>
        </w:rPr>
        <w:t>No. 325</w:t>
      </w:r>
      <w:r w:rsidRPr="002F649F">
        <w:rPr>
          <w:rFonts w:ascii="Verdana" w:hAnsi="Verdana"/>
          <w:sz w:val="16"/>
          <w:szCs w:val="16"/>
        </w:rPr>
        <w:t xml:space="preserve">, </w:t>
      </w:r>
      <w:r w:rsidRPr="00DB01B1">
        <w:rPr>
          <w:rFonts w:ascii="Verdana" w:hAnsi="Verdana"/>
          <w:sz w:val="16"/>
          <w:szCs w:val="16"/>
        </w:rPr>
        <w:t>párr. 110.</w:t>
      </w:r>
    </w:p>
    <w:p w14:paraId="5B88CE1D" w14:textId="77777777" w:rsidR="0046241E" w:rsidRPr="002F649F" w:rsidRDefault="0046241E" w:rsidP="002F649F">
      <w:pPr>
        <w:pStyle w:val="FootnoteText"/>
        <w:jc w:val="both"/>
        <w:rPr>
          <w:rFonts w:ascii="Verdana" w:hAnsi="Verdana"/>
          <w:sz w:val="16"/>
          <w:szCs w:val="16"/>
          <w:lang w:val="es-ES_tradnl"/>
        </w:rPr>
      </w:pPr>
    </w:p>
  </w:footnote>
  <w:footnote w:id="129">
    <w:p w14:paraId="1C2E16A8" w14:textId="7D8A2153"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Pr>
          <w:rFonts w:ascii="Verdana" w:hAnsi="Verdana"/>
          <w:sz w:val="16"/>
          <w:szCs w:val="16"/>
        </w:rPr>
        <w:tab/>
      </w:r>
      <w:r w:rsidRPr="002F649F">
        <w:rPr>
          <w:rFonts w:ascii="Verdana" w:hAnsi="Verdana"/>
          <w:i/>
          <w:sz w:val="16"/>
          <w:szCs w:val="16"/>
        </w:rPr>
        <w:t>Cfr.</w:t>
      </w:r>
      <w:r w:rsidRPr="002F649F">
        <w:rPr>
          <w:rFonts w:ascii="Verdana" w:hAnsi="Verdana"/>
          <w:sz w:val="16"/>
          <w:szCs w:val="16"/>
        </w:rPr>
        <w:t xml:space="preserve"> Corte IDH. </w:t>
      </w:r>
      <w:r w:rsidRPr="002F649F">
        <w:rPr>
          <w:rFonts w:ascii="Verdana" w:hAnsi="Verdana"/>
          <w:i/>
          <w:sz w:val="16"/>
          <w:szCs w:val="16"/>
        </w:rPr>
        <w:t xml:space="preserve">Caso </w:t>
      </w:r>
      <w:proofErr w:type="spellStart"/>
      <w:r w:rsidRPr="002F649F">
        <w:rPr>
          <w:rFonts w:ascii="Verdana" w:hAnsi="Verdana"/>
          <w:i/>
          <w:sz w:val="16"/>
          <w:szCs w:val="16"/>
        </w:rPr>
        <w:t>Yarce</w:t>
      </w:r>
      <w:proofErr w:type="spellEnd"/>
      <w:r w:rsidRPr="002F649F">
        <w:rPr>
          <w:rFonts w:ascii="Verdana" w:hAnsi="Verdana"/>
          <w:i/>
          <w:sz w:val="16"/>
          <w:szCs w:val="16"/>
        </w:rPr>
        <w:t xml:space="preserve"> y otras Vs. Colombia. Excepción Preliminar, Fondo, Reparaciones y Costas.</w:t>
      </w:r>
      <w:r w:rsidRPr="002F649F">
        <w:rPr>
          <w:rFonts w:ascii="Verdana" w:hAnsi="Verdana"/>
          <w:sz w:val="16"/>
          <w:szCs w:val="16"/>
        </w:rPr>
        <w:t xml:space="preserve"> S</w:t>
      </w:r>
      <w:r>
        <w:rPr>
          <w:rFonts w:ascii="Verdana" w:hAnsi="Verdana"/>
          <w:sz w:val="16"/>
          <w:szCs w:val="16"/>
        </w:rPr>
        <w:t xml:space="preserve">entencia de 22 de noviembre de </w:t>
      </w:r>
      <w:r w:rsidRPr="002F649F">
        <w:rPr>
          <w:rFonts w:ascii="Verdana" w:hAnsi="Verdana"/>
          <w:sz w:val="16"/>
          <w:szCs w:val="16"/>
        </w:rPr>
        <w:t xml:space="preserve">2016, Serie C </w:t>
      </w:r>
      <w:r>
        <w:rPr>
          <w:rFonts w:ascii="Verdana" w:hAnsi="Verdana"/>
          <w:sz w:val="16"/>
          <w:szCs w:val="16"/>
        </w:rPr>
        <w:t>No. 325</w:t>
      </w:r>
      <w:r w:rsidRPr="0086493F">
        <w:rPr>
          <w:rFonts w:ascii="Verdana" w:hAnsi="Verdana"/>
          <w:sz w:val="16"/>
          <w:szCs w:val="16"/>
        </w:rPr>
        <w:t xml:space="preserve">, </w:t>
      </w:r>
      <w:proofErr w:type="spellStart"/>
      <w:r w:rsidRPr="00DB01B1">
        <w:rPr>
          <w:rFonts w:ascii="Verdana" w:hAnsi="Verdana"/>
          <w:sz w:val="16"/>
          <w:szCs w:val="16"/>
        </w:rPr>
        <w:t>párrs</w:t>
      </w:r>
      <w:proofErr w:type="spellEnd"/>
      <w:r w:rsidRPr="00DB01B1">
        <w:rPr>
          <w:rFonts w:ascii="Verdana" w:hAnsi="Verdana"/>
          <w:sz w:val="16"/>
          <w:szCs w:val="16"/>
        </w:rPr>
        <w:t>. 23</w:t>
      </w:r>
      <w:r>
        <w:rPr>
          <w:rFonts w:ascii="Verdana" w:hAnsi="Verdana"/>
          <w:sz w:val="16"/>
          <w:szCs w:val="16"/>
        </w:rPr>
        <w:t>2</w:t>
      </w:r>
      <w:r w:rsidRPr="00DB01B1">
        <w:rPr>
          <w:rFonts w:ascii="Verdana" w:hAnsi="Verdana"/>
          <w:sz w:val="16"/>
          <w:szCs w:val="16"/>
        </w:rPr>
        <w:t>, 23</w:t>
      </w:r>
      <w:r>
        <w:rPr>
          <w:rFonts w:ascii="Verdana" w:hAnsi="Verdana"/>
          <w:sz w:val="16"/>
          <w:szCs w:val="16"/>
        </w:rPr>
        <w:t>3</w:t>
      </w:r>
      <w:r w:rsidRPr="00DB01B1">
        <w:rPr>
          <w:rFonts w:ascii="Verdana" w:hAnsi="Verdana"/>
          <w:sz w:val="16"/>
          <w:szCs w:val="16"/>
        </w:rPr>
        <w:t>, 23</w:t>
      </w:r>
      <w:r>
        <w:rPr>
          <w:rFonts w:ascii="Verdana" w:hAnsi="Verdana"/>
          <w:sz w:val="16"/>
          <w:szCs w:val="16"/>
        </w:rPr>
        <w:t>4</w:t>
      </w:r>
      <w:r w:rsidRPr="00DB01B1">
        <w:rPr>
          <w:rFonts w:ascii="Verdana" w:hAnsi="Verdana"/>
          <w:sz w:val="16"/>
          <w:szCs w:val="16"/>
        </w:rPr>
        <w:t xml:space="preserve"> y 23</w:t>
      </w:r>
      <w:r>
        <w:rPr>
          <w:rFonts w:ascii="Verdana" w:hAnsi="Verdana"/>
          <w:sz w:val="16"/>
          <w:szCs w:val="16"/>
        </w:rPr>
        <w:t>5</w:t>
      </w:r>
      <w:r w:rsidRPr="00DB01B1">
        <w:rPr>
          <w:rFonts w:ascii="Verdana" w:hAnsi="Verdana"/>
          <w:sz w:val="16"/>
          <w:szCs w:val="16"/>
        </w:rPr>
        <w:t>.</w:t>
      </w:r>
    </w:p>
    <w:p w14:paraId="2F27F31D" w14:textId="77777777" w:rsidR="0046241E" w:rsidRPr="002F649F" w:rsidRDefault="0046241E" w:rsidP="002F649F">
      <w:pPr>
        <w:pStyle w:val="FootnoteText"/>
        <w:jc w:val="both"/>
        <w:rPr>
          <w:rFonts w:ascii="Verdana" w:hAnsi="Verdana"/>
          <w:sz w:val="16"/>
          <w:szCs w:val="16"/>
          <w:lang w:val="es-ES_tradnl"/>
        </w:rPr>
      </w:pPr>
    </w:p>
  </w:footnote>
  <w:footnote w:id="130">
    <w:p w14:paraId="535A5DA8" w14:textId="7EEAC401"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ab/>
      </w:r>
      <w:r w:rsidRPr="002F649F">
        <w:rPr>
          <w:rFonts w:ascii="Verdana" w:hAnsi="Verdana"/>
          <w:i/>
          <w:sz w:val="16"/>
          <w:szCs w:val="16"/>
        </w:rPr>
        <w:t>Cfr.</w:t>
      </w:r>
      <w:r w:rsidRPr="002F649F">
        <w:rPr>
          <w:rFonts w:ascii="Verdana" w:hAnsi="Verdana"/>
          <w:sz w:val="16"/>
          <w:szCs w:val="16"/>
        </w:rPr>
        <w:t xml:space="preserve"> Corte IDH. </w:t>
      </w:r>
      <w:r w:rsidRPr="002F649F">
        <w:rPr>
          <w:rFonts w:ascii="Verdana" w:hAnsi="Verdana"/>
          <w:i/>
          <w:sz w:val="16"/>
          <w:szCs w:val="16"/>
        </w:rPr>
        <w:t xml:space="preserve">Caso </w:t>
      </w:r>
      <w:proofErr w:type="spellStart"/>
      <w:r w:rsidRPr="002F649F">
        <w:rPr>
          <w:rFonts w:ascii="Verdana" w:hAnsi="Verdana"/>
          <w:i/>
          <w:sz w:val="16"/>
          <w:szCs w:val="16"/>
        </w:rPr>
        <w:t>Yarce</w:t>
      </w:r>
      <w:proofErr w:type="spellEnd"/>
      <w:r w:rsidRPr="002F649F">
        <w:rPr>
          <w:rFonts w:ascii="Verdana" w:hAnsi="Verdana"/>
          <w:i/>
          <w:sz w:val="16"/>
          <w:szCs w:val="16"/>
        </w:rPr>
        <w:t xml:space="preserve"> y otras Vs. Colombia. Excepción Preliminar, Fondo, Reparaciones y Costas.</w:t>
      </w:r>
      <w:r w:rsidRPr="002F649F">
        <w:rPr>
          <w:rFonts w:ascii="Verdana" w:hAnsi="Verdana"/>
          <w:sz w:val="16"/>
          <w:szCs w:val="16"/>
        </w:rPr>
        <w:t xml:space="preserve"> </w:t>
      </w:r>
      <w:r>
        <w:rPr>
          <w:rFonts w:ascii="Verdana" w:hAnsi="Verdana"/>
          <w:sz w:val="16"/>
          <w:szCs w:val="16"/>
        </w:rPr>
        <w:t>Sentencia de 22 de noviembre de</w:t>
      </w:r>
      <w:r w:rsidRPr="002F649F">
        <w:rPr>
          <w:rFonts w:ascii="Verdana" w:hAnsi="Verdana"/>
          <w:sz w:val="16"/>
          <w:szCs w:val="16"/>
        </w:rPr>
        <w:t xml:space="preserve"> 2016, Serie C </w:t>
      </w:r>
      <w:r>
        <w:rPr>
          <w:rFonts w:ascii="Verdana" w:hAnsi="Verdana"/>
          <w:sz w:val="16"/>
          <w:szCs w:val="16"/>
        </w:rPr>
        <w:t>No. 325</w:t>
      </w:r>
      <w:r w:rsidRPr="002F649F">
        <w:rPr>
          <w:rFonts w:ascii="Verdana" w:hAnsi="Verdana"/>
          <w:sz w:val="16"/>
          <w:szCs w:val="16"/>
        </w:rPr>
        <w:t xml:space="preserve">, </w:t>
      </w:r>
      <w:proofErr w:type="spellStart"/>
      <w:r w:rsidRPr="00DB01B1">
        <w:rPr>
          <w:rFonts w:ascii="Verdana" w:hAnsi="Verdana"/>
          <w:sz w:val="16"/>
          <w:szCs w:val="16"/>
        </w:rPr>
        <w:t>párrs</w:t>
      </w:r>
      <w:proofErr w:type="spellEnd"/>
      <w:r w:rsidRPr="00DB01B1">
        <w:rPr>
          <w:rFonts w:ascii="Verdana" w:hAnsi="Verdana"/>
          <w:sz w:val="16"/>
          <w:szCs w:val="16"/>
        </w:rPr>
        <w:t>. 20</w:t>
      </w:r>
      <w:r>
        <w:rPr>
          <w:rFonts w:ascii="Verdana" w:hAnsi="Verdana"/>
          <w:sz w:val="16"/>
          <w:szCs w:val="16"/>
        </w:rPr>
        <w:t>7</w:t>
      </w:r>
      <w:r w:rsidRPr="00DB01B1">
        <w:rPr>
          <w:rFonts w:ascii="Verdana" w:hAnsi="Verdana"/>
          <w:sz w:val="16"/>
          <w:szCs w:val="16"/>
        </w:rPr>
        <w:t>, 21</w:t>
      </w:r>
      <w:r>
        <w:rPr>
          <w:rFonts w:ascii="Verdana" w:hAnsi="Verdana"/>
          <w:sz w:val="16"/>
          <w:szCs w:val="16"/>
        </w:rPr>
        <w:t>0</w:t>
      </w:r>
      <w:r w:rsidRPr="00DB01B1">
        <w:rPr>
          <w:rFonts w:ascii="Verdana" w:hAnsi="Verdana"/>
          <w:sz w:val="16"/>
          <w:szCs w:val="16"/>
        </w:rPr>
        <w:t xml:space="preserve"> y 21</w:t>
      </w:r>
      <w:r>
        <w:rPr>
          <w:rFonts w:ascii="Verdana" w:hAnsi="Verdana"/>
          <w:sz w:val="16"/>
          <w:szCs w:val="16"/>
        </w:rPr>
        <w:t>3</w:t>
      </w:r>
      <w:r w:rsidRPr="00DB01B1">
        <w:rPr>
          <w:rFonts w:ascii="Verdana" w:hAnsi="Verdana"/>
          <w:sz w:val="16"/>
          <w:szCs w:val="16"/>
        </w:rPr>
        <w:t>.</w:t>
      </w:r>
    </w:p>
    <w:p w14:paraId="4CC7DFAE" w14:textId="77777777" w:rsidR="0046241E" w:rsidRPr="002F649F" w:rsidRDefault="0046241E" w:rsidP="002F649F">
      <w:pPr>
        <w:pStyle w:val="FootnoteText"/>
        <w:jc w:val="both"/>
        <w:rPr>
          <w:rFonts w:ascii="Verdana" w:hAnsi="Verdana"/>
          <w:sz w:val="16"/>
          <w:szCs w:val="16"/>
          <w:lang w:val="es-ES_tradnl"/>
        </w:rPr>
      </w:pPr>
    </w:p>
  </w:footnote>
  <w:footnote w:id="131">
    <w:p w14:paraId="7C517410" w14:textId="77777777" w:rsidR="0046241E" w:rsidRPr="002F649F" w:rsidRDefault="0046241E" w:rsidP="002F649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i/>
          <w:sz w:val="16"/>
          <w:szCs w:val="16"/>
          <w:lang w:val="es-CR"/>
        </w:rPr>
        <w:t>Cfr</w:t>
      </w:r>
      <w:r w:rsidRPr="001E59D4">
        <w:rPr>
          <w:rFonts w:ascii="Verdana" w:hAnsi="Verdana"/>
          <w:i/>
          <w:sz w:val="16"/>
          <w:szCs w:val="16"/>
          <w:lang w:val="es-CR"/>
        </w:rPr>
        <w:t>.</w:t>
      </w:r>
      <w:r w:rsidRPr="001E59D4">
        <w:rPr>
          <w:rFonts w:ascii="Verdana" w:hAnsi="Verdana"/>
          <w:sz w:val="16"/>
          <w:szCs w:val="16"/>
          <w:lang w:val="es-CR"/>
        </w:rPr>
        <w:t xml:space="preserve"> Informe de Fondo, </w:t>
      </w:r>
      <w:proofErr w:type="spellStart"/>
      <w:r w:rsidRPr="001E59D4">
        <w:rPr>
          <w:rFonts w:ascii="Verdana" w:hAnsi="Verdana"/>
          <w:sz w:val="16"/>
          <w:szCs w:val="16"/>
          <w:lang w:val="es-CR"/>
        </w:rPr>
        <w:t>párrs</w:t>
      </w:r>
      <w:proofErr w:type="spellEnd"/>
      <w:r w:rsidRPr="001E59D4">
        <w:rPr>
          <w:rFonts w:ascii="Verdana" w:hAnsi="Verdana"/>
          <w:sz w:val="16"/>
          <w:szCs w:val="16"/>
          <w:lang w:val="es-CR"/>
        </w:rPr>
        <w:t>. 224 a 226 y 236, 287 a 289 y 293, 307, 311, 350, 351, 357, 363 y 367. También la Comisión hizo mención a la “toma” y “destrucción” de las viviendas en la audiencia pública y en el párrafo 69 de sus observaciones finales escritas.</w:t>
      </w:r>
      <w:r w:rsidRPr="002F649F">
        <w:rPr>
          <w:rFonts w:ascii="Verdana" w:hAnsi="Verdana"/>
          <w:sz w:val="16"/>
          <w:szCs w:val="16"/>
          <w:lang w:val="es-CR"/>
        </w:rPr>
        <w:t xml:space="preserve"> </w:t>
      </w:r>
    </w:p>
  </w:footnote>
  <w:footnote w:id="132">
    <w:p w14:paraId="2CB217CC" w14:textId="77777777" w:rsidR="0046241E" w:rsidRDefault="0046241E" w:rsidP="002F649F">
      <w:pPr>
        <w:pStyle w:val="FootnoteText"/>
        <w:jc w:val="both"/>
        <w:rPr>
          <w:rFonts w:ascii="Verdana" w:hAnsi="Verdana"/>
          <w:sz w:val="16"/>
          <w:szCs w:val="16"/>
        </w:rPr>
      </w:pPr>
    </w:p>
    <w:p w14:paraId="5BDE7748" w14:textId="77777777" w:rsidR="0046241E" w:rsidRPr="002F649F" w:rsidRDefault="0046241E" w:rsidP="002F649F">
      <w:pPr>
        <w:pStyle w:val="FootnoteText"/>
        <w:jc w:val="both"/>
        <w:rPr>
          <w:rFonts w:ascii="Verdana" w:hAnsi="Verdana"/>
          <w:sz w:val="16"/>
          <w:szCs w:val="16"/>
          <w:lang w:val="es-CR"/>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9B7900">
        <w:rPr>
          <w:rFonts w:ascii="Verdana" w:hAnsi="Verdana"/>
          <w:sz w:val="16"/>
          <w:szCs w:val="16"/>
          <w:lang w:val="es-CR"/>
        </w:rPr>
        <w:t>Escrito de solicitudes, argumentos y pruebas, párr. 266.</w:t>
      </w:r>
      <w:r w:rsidRPr="002F649F">
        <w:rPr>
          <w:rFonts w:ascii="Verdana" w:hAnsi="Verdana"/>
          <w:sz w:val="16"/>
          <w:szCs w:val="16"/>
          <w:lang w:val="es-CR"/>
        </w:rPr>
        <w:t xml:space="preserve"> </w:t>
      </w:r>
    </w:p>
  </w:footnote>
  <w:footnote w:id="133">
    <w:p w14:paraId="4747A7C7" w14:textId="77777777" w:rsidR="0046241E" w:rsidRDefault="0046241E" w:rsidP="002F649F">
      <w:pPr>
        <w:pStyle w:val="FootnoteText"/>
        <w:jc w:val="both"/>
        <w:rPr>
          <w:rFonts w:ascii="Verdana" w:hAnsi="Verdana"/>
          <w:sz w:val="16"/>
          <w:szCs w:val="16"/>
        </w:rPr>
      </w:pPr>
    </w:p>
    <w:p w14:paraId="0092ED89" w14:textId="56EC58E2" w:rsidR="0046241E"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6729BB">
        <w:rPr>
          <w:rFonts w:ascii="Verdana" w:hAnsi="Verdana"/>
          <w:sz w:val="16"/>
          <w:szCs w:val="16"/>
        </w:rPr>
        <w:t>Así lo efectuaron en los párrafos 362, 365, 368, 373, 418, 419, 447, 448, 459, 500, 501 de su escrito de solicitudes, argumentos y pruebas. También hicieron referencia a la “pérdida de las viviendas” en la audiencia pública y en el escrito de alegatos finales.</w:t>
      </w:r>
    </w:p>
    <w:p w14:paraId="62D7E528" w14:textId="77777777" w:rsidR="0046241E" w:rsidRPr="002F649F" w:rsidRDefault="0046241E" w:rsidP="002F649F">
      <w:pPr>
        <w:pStyle w:val="FootnoteText"/>
        <w:jc w:val="both"/>
        <w:rPr>
          <w:rFonts w:ascii="Verdana" w:hAnsi="Verdana"/>
          <w:sz w:val="16"/>
          <w:szCs w:val="16"/>
          <w:lang w:val="es-PE"/>
        </w:rPr>
      </w:pPr>
    </w:p>
  </w:footnote>
  <w:footnote w:id="134">
    <w:p w14:paraId="4496FB15" w14:textId="3D6C763D" w:rsidR="0046241E" w:rsidRPr="002F649F" w:rsidRDefault="0046241E" w:rsidP="002F649F">
      <w:pPr>
        <w:pStyle w:val="FootnoteText"/>
        <w:jc w:val="both"/>
        <w:rPr>
          <w:rFonts w:ascii="Verdana" w:hAnsi="Verdana" w:cs="Verdana"/>
          <w:bCs/>
          <w:sz w:val="16"/>
          <w:szCs w:val="16"/>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ab/>
      </w:r>
      <w:r w:rsidRPr="002F649F">
        <w:rPr>
          <w:rFonts w:ascii="Verdana" w:hAnsi="Verdana"/>
          <w:i/>
          <w:sz w:val="16"/>
          <w:szCs w:val="16"/>
          <w:lang w:val="es-ES_tradnl"/>
        </w:rPr>
        <w:t>Cfr.</w:t>
      </w:r>
      <w:r w:rsidRPr="002F649F">
        <w:rPr>
          <w:rFonts w:ascii="Verdana" w:hAnsi="Verdana"/>
          <w:sz w:val="16"/>
          <w:szCs w:val="16"/>
          <w:lang w:val="es-ES_tradnl"/>
        </w:rPr>
        <w:t xml:space="preserve"> Corte IDH. </w:t>
      </w:r>
      <w:r w:rsidRPr="002F649F">
        <w:rPr>
          <w:rFonts w:ascii="Verdana" w:hAnsi="Verdana"/>
          <w:i/>
          <w:sz w:val="16"/>
          <w:szCs w:val="16"/>
          <w:lang w:val="es-ES_tradnl"/>
        </w:rPr>
        <w:t>C</w:t>
      </w:r>
      <w:r w:rsidRPr="002F649F">
        <w:rPr>
          <w:rFonts w:ascii="Verdana" w:hAnsi="Verdana" w:cs="Verdana"/>
          <w:bCs/>
          <w:i/>
          <w:sz w:val="16"/>
          <w:szCs w:val="16"/>
        </w:rPr>
        <w:t xml:space="preserve">aso de la "Masacre de </w:t>
      </w:r>
      <w:proofErr w:type="spellStart"/>
      <w:r w:rsidRPr="002F649F">
        <w:rPr>
          <w:rFonts w:ascii="Verdana" w:hAnsi="Verdana" w:cs="Verdana"/>
          <w:bCs/>
          <w:i/>
          <w:sz w:val="16"/>
          <w:szCs w:val="16"/>
        </w:rPr>
        <w:t>Mapiripán</w:t>
      </w:r>
      <w:proofErr w:type="spellEnd"/>
      <w:r w:rsidRPr="002F649F">
        <w:rPr>
          <w:rFonts w:ascii="Verdana" w:hAnsi="Verdana" w:cs="Verdana"/>
          <w:bCs/>
          <w:i/>
          <w:sz w:val="16"/>
          <w:szCs w:val="16"/>
        </w:rPr>
        <w:t>" Vs. Colombia</w:t>
      </w:r>
      <w:r w:rsidRPr="002F649F">
        <w:rPr>
          <w:rFonts w:ascii="Verdana" w:hAnsi="Verdana" w:cs="Verdana"/>
          <w:bCs/>
          <w:sz w:val="16"/>
          <w:szCs w:val="16"/>
        </w:rPr>
        <w:t xml:space="preserve">. Sentencia de 15 de septiembre de 2005. Serie C No. 134, párr. 188;  </w:t>
      </w:r>
      <w:r w:rsidRPr="002F649F">
        <w:rPr>
          <w:rFonts w:ascii="Verdana" w:hAnsi="Verdana" w:cs="Verdana"/>
          <w:bCs/>
          <w:i/>
          <w:sz w:val="16"/>
          <w:szCs w:val="16"/>
        </w:rPr>
        <w:t>Caso Masacres de Río Negro Vs. Guatemala. Excepción Preliminar, Fondo, Reparaciones y Costas</w:t>
      </w:r>
      <w:r w:rsidRPr="002F649F">
        <w:rPr>
          <w:rFonts w:ascii="Verdana" w:hAnsi="Verdana" w:cs="Verdana"/>
          <w:bCs/>
          <w:sz w:val="16"/>
          <w:szCs w:val="16"/>
        </w:rPr>
        <w:t xml:space="preserve">. Sentencia de 4 de septiembre de 2012. Serie C No. 250, párr. 172;  </w:t>
      </w:r>
      <w:r w:rsidRPr="002F649F">
        <w:rPr>
          <w:rFonts w:ascii="Verdana" w:hAnsi="Verdana" w:cs="Verdana"/>
          <w:bCs/>
          <w:i/>
          <w:sz w:val="16"/>
          <w:szCs w:val="16"/>
        </w:rPr>
        <w:t xml:space="preserve">Caso de la Comunidad </w:t>
      </w:r>
      <w:proofErr w:type="spellStart"/>
      <w:r w:rsidRPr="002F649F">
        <w:rPr>
          <w:rFonts w:ascii="Verdana" w:hAnsi="Verdana" w:cs="Verdana"/>
          <w:bCs/>
          <w:i/>
          <w:sz w:val="16"/>
          <w:szCs w:val="16"/>
        </w:rPr>
        <w:t>Moiwana</w:t>
      </w:r>
      <w:proofErr w:type="spellEnd"/>
      <w:r w:rsidRPr="002F649F">
        <w:rPr>
          <w:rFonts w:ascii="Verdana" w:hAnsi="Verdana" w:cs="Verdana"/>
          <w:bCs/>
          <w:i/>
          <w:sz w:val="16"/>
          <w:szCs w:val="16"/>
        </w:rPr>
        <w:t xml:space="preserve"> Vs. Surinam. Excepciones Preliminares, Fondo, Reparaciones y Costas</w:t>
      </w:r>
      <w:r w:rsidRPr="002F649F">
        <w:rPr>
          <w:rFonts w:ascii="Verdana" w:hAnsi="Verdana" w:cs="Verdana"/>
          <w:bCs/>
          <w:sz w:val="16"/>
          <w:szCs w:val="16"/>
        </w:rPr>
        <w:t>. Sentencia 15 de junio de 2005. Serie C No. 124, párr. 110</w:t>
      </w:r>
      <w:r w:rsidRPr="002F649F">
        <w:rPr>
          <w:rFonts w:ascii="Verdana" w:hAnsi="Verdana" w:cs="Verdana"/>
          <w:bCs/>
          <w:i/>
          <w:sz w:val="16"/>
          <w:szCs w:val="16"/>
        </w:rPr>
        <w:t>; Caso Vélez Restrepo y familiares Vs. Colombia. Excepción Preliminar, Fondo, Reparaciones y Costas</w:t>
      </w:r>
      <w:r w:rsidRPr="002F649F">
        <w:rPr>
          <w:rFonts w:ascii="Verdana" w:hAnsi="Verdana" w:cs="Verdana"/>
          <w:bCs/>
          <w:sz w:val="16"/>
          <w:szCs w:val="16"/>
        </w:rPr>
        <w:t xml:space="preserve">. Sentencia de 3 de septiembre de 2012. Serie C No. 248, párr.220 y </w:t>
      </w:r>
      <w:r w:rsidRPr="002F649F">
        <w:rPr>
          <w:rFonts w:ascii="Verdana" w:hAnsi="Verdana" w:cs="Verdana"/>
          <w:bCs/>
          <w:i/>
          <w:sz w:val="16"/>
          <w:szCs w:val="16"/>
        </w:rPr>
        <w:t>Caso Masacres de El Mozote y lugares aledaños Vs. El Salvador. Fondo, Reparaciones y Costas.</w:t>
      </w:r>
      <w:r w:rsidRPr="002F649F">
        <w:rPr>
          <w:rFonts w:ascii="Verdana" w:hAnsi="Verdana" w:cs="Verdana"/>
          <w:bCs/>
          <w:sz w:val="16"/>
          <w:szCs w:val="16"/>
        </w:rPr>
        <w:t xml:space="preserve"> Sentencia de 25 de octubre de 2012. Serie C No. 252, párr. 186. </w:t>
      </w:r>
    </w:p>
  </w:footnote>
  <w:footnote w:id="135">
    <w:p w14:paraId="22FC5FC0" w14:textId="77777777" w:rsidR="0046241E" w:rsidRDefault="0046241E" w:rsidP="002F649F">
      <w:pPr>
        <w:pStyle w:val="NormalWeb"/>
        <w:spacing w:before="0" w:beforeAutospacing="0" w:after="0" w:afterAutospacing="0"/>
        <w:jc w:val="both"/>
        <w:rPr>
          <w:rFonts w:ascii="Verdana" w:hAnsi="Verdana"/>
          <w:sz w:val="16"/>
          <w:szCs w:val="16"/>
        </w:rPr>
      </w:pPr>
    </w:p>
    <w:p w14:paraId="4F64FBC2" w14:textId="368D2B42" w:rsidR="0046241E" w:rsidRPr="002F649F" w:rsidRDefault="0046241E" w:rsidP="002F649F">
      <w:pPr>
        <w:pStyle w:val="NormalWeb"/>
        <w:spacing w:before="0" w:beforeAutospacing="0" w:after="0" w:afterAutospacing="0"/>
        <w:jc w:val="both"/>
        <w:rPr>
          <w:rFonts w:ascii="Verdana" w:hAnsi="Verdana"/>
          <w:sz w:val="16"/>
          <w:szCs w:val="16"/>
        </w:rPr>
      </w:pPr>
      <w:r w:rsidRPr="002240A8">
        <w:rPr>
          <w:rStyle w:val="FootnoteReference"/>
          <w:rFonts w:ascii="Verdana" w:hAnsi="Verdana"/>
          <w:sz w:val="16"/>
          <w:szCs w:val="16"/>
        </w:rPr>
        <w:footnoteRef/>
      </w:r>
      <w:r w:rsidRPr="002240A8">
        <w:rPr>
          <w:rFonts w:ascii="Verdana" w:hAnsi="Verdana"/>
          <w:sz w:val="16"/>
          <w:szCs w:val="16"/>
        </w:rPr>
        <w:tab/>
      </w:r>
      <w:r w:rsidRPr="002240A8">
        <w:rPr>
          <w:rFonts w:ascii="Verdana" w:hAnsi="Verdana"/>
          <w:i/>
          <w:sz w:val="16"/>
          <w:szCs w:val="16"/>
        </w:rPr>
        <w:t>Cfr.</w:t>
      </w:r>
      <w:r>
        <w:rPr>
          <w:rFonts w:ascii="Verdana" w:hAnsi="Verdana"/>
          <w:sz w:val="16"/>
          <w:szCs w:val="16"/>
        </w:rPr>
        <w:t xml:space="preserve"> </w:t>
      </w:r>
      <w:r w:rsidRPr="002240A8">
        <w:rPr>
          <w:rFonts w:ascii="Verdana" w:hAnsi="Verdana"/>
          <w:sz w:val="16"/>
          <w:szCs w:val="16"/>
        </w:rPr>
        <w:t xml:space="preserve">ONU, Comité de Derechos Humanos, Observación General No. 27, </w:t>
      </w:r>
      <w:r w:rsidRPr="002240A8">
        <w:rPr>
          <w:rFonts w:ascii="Verdana" w:hAnsi="Verdana"/>
          <w:i/>
          <w:sz w:val="16"/>
          <w:szCs w:val="16"/>
        </w:rPr>
        <w:t xml:space="preserve">Libertad de Circulación, </w:t>
      </w:r>
      <w:r w:rsidRPr="002240A8">
        <w:rPr>
          <w:rFonts w:ascii="Verdana" w:hAnsi="Verdana"/>
          <w:sz w:val="16"/>
          <w:szCs w:val="16"/>
        </w:rPr>
        <w:t xml:space="preserve">CCPR/C/21/Rev.1/Add.9, 29 de noviembre de 1999, </w:t>
      </w:r>
      <w:r w:rsidRPr="00B650EE">
        <w:rPr>
          <w:rFonts w:ascii="Verdana" w:hAnsi="Verdana"/>
          <w:sz w:val="16"/>
          <w:szCs w:val="16"/>
        </w:rPr>
        <w:t>p</w:t>
      </w:r>
      <w:r w:rsidRPr="00B650EE">
        <w:rPr>
          <w:rFonts w:ascii="Verdana" w:hAnsi="Verdana"/>
          <w:vanish/>
          <w:sz w:val="16"/>
          <w:szCs w:val="16"/>
        </w:rPr>
        <w:t>árrs.</w:t>
      </w:r>
      <w:r w:rsidRPr="002240A8">
        <w:rPr>
          <w:rFonts w:ascii="Verdana" w:hAnsi="Verdana"/>
          <w:i/>
          <w:vanish/>
          <w:sz w:val="16"/>
          <w:szCs w:val="16"/>
        </w:rPr>
        <w:t xml:space="preserve"> </w:t>
      </w:r>
      <w:r w:rsidRPr="002240A8">
        <w:rPr>
          <w:rFonts w:ascii="Verdana" w:hAnsi="Verdana"/>
          <w:sz w:val="16"/>
          <w:szCs w:val="16"/>
        </w:rPr>
        <w:t>4,5, 7 y 19.</w:t>
      </w:r>
      <w:r w:rsidRPr="002F649F">
        <w:rPr>
          <w:rFonts w:ascii="Verdana" w:hAnsi="Verdana"/>
          <w:sz w:val="16"/>
          <w:szCs w:val="16"/>
        </w:rPr>
        <w:t xml:space="preserve">   </w:t>
      </w:r>
    </w:p>
  </w:footnote>
  <w:footnote w:id="136">
    <w:p w14:paraId="46F21627" w14:textId="77777777" w:rsidR="0046241E" w:rsidRDefault="0046241E" w:rsidP="002F649F">
      <w:pPr>
        <w:pStyle w:val="FootnoteText"/>
        <w:jc w:val="both"/>
        <w:rPr>
          <w:rFonts w:ascii="Verdana" w:hAnsi="Verdana"/>
          <w:sz w:val="16"/>
          <w:szCs w:val="16"/>
          <w:lang w:val="es-ES_tradnl"/>
        </w:rPr>
      </w:pPr>
    </w:p>
    <w:p w14:paraId="6B261606" w14:textId="3ED3590C" w:rsidR="0046241E" w:rsidRDefault="0046241E" w:rsidP="002F649F">
      <w:pPr>
        <w:pStyle w:val="FootnoteText"/>
        <w:jc w:val="both"/>
        <w:rPr>
          <w:rFonts w:ascii="Verdana" w:hAnsi="Verdana"/>
          <w:sz w:val="16"/>
          <w:szCs w:val="16"/>
          <w:lang w:val="es-ES_tradnl"/>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r>
      <w:r w:rsidRPr="002F649F">
        <w:rPr>
          <w:rFonts w:ascii="Verdana" w:hAnsi="Verdana"/>
          <w:i/>
          <w:sz w:val="16"/>
          <w:szCs w:val="16"/>
          <w:lang w:val="es-ES_tradnl"/>
        </w:rPr>
        <w:t>Cfr.</w:t>
      </w:r>
      <w:r w:rsidRPr="002F649F">
        <w:rPr>
          <w:rFonts w:ascii="Verdana" w:hAnsi="Verdana"/>
          <w:sz w:val="16"/>
          <w:szCs w:val="16"/>
          <w:lang w:val="es-ES_tradnl"/>
        </w:rPr>
        <w:t xml:space="preserve"> Principios Rectores de los Desplazamientos Internos de las Naciones Unidas, U.N. Doc. E/CN.4/1998/53/Add.2 11 de febrero de 1998, </w:t>
      </w:r>
      <w:proofErr w:type="spellStart"/>
      <w:r w:rsidRPr="002F649F">
        <w:rPr>
          <w:rFonts w:ascii="Verdana" w:hAnsi="Verdana"/>
          <w:sz w:val="16"/>
          <w:szCs w:val="16"/>
          <w:lang w:val="es-ES_tradnl"/>
        </w:rPr>
        <w:t>párr</w:t>
      </w:r>
      <w:proofErr w:type="spellEnd"/>
      <w:r w:rsidRPr="002F649F">
        <w:rPr>
          <w:rFonts w:ascii="Verdana" w:hAnsi="Verdana"/>
          <w:sz w:val="16"/>
          <w:szCs w:val="16"/>
          <w:lang w:val="es-ES_tradnl"/>
        </w:rPr>
        <w:t xml:space="preserve">. 2.  </w:t>
      </w:r>
      <w:r w:rsidRPr="002F649F">
        <w:rPr>
          <w:rFonts w:ascii="Verdana" w:hAnsi="Verdana" w:cs="Verdana"/>
          <w:bCs/>
          <w:i/>
          <w:sz w:val="16"/>
          <w:szCs w:val="16"/>
        </w:rPr>
        <w:t>Caso Masacres de El Mozote y lugares aledaños Vs. El Salvador. Fondo, Reparaciones y Costas.</w:t>
      </w:r>
      <w:r w:rsidRPr="002F649F">
        <w:rPr>
          <w:rFonts w:ascii="Verdana" w:hAnsi="Verdana" w:cs="Verdana"/>
          <w:bCs/>
          <w:sz w:val="16"/>
          <w:szCs w:val="16"/>
        </w:rPr>
        <w:t xml:space="preserve"> Sentencia de 25 de octubre de 2012. Serie C No. 252, </w:t>
      </w:r>
      <w:r w:rsidRPr="002F649F">
        <w:rPr>
          <w:rFonts w:ascii="Verdana" w:hAnsi="Verdana"/>
          <w:sz w:val="16"/>
          <w:szCs w:val="16"/>
          <w:lang w:val="es-ES_tradnl"/>
        </w:rPr>
        <w:t xml:space="preserve">nota 265 y </w:t>
      </w:r>
      <w:r w:rsidRPr="002F649F">
        <w:rPr>
          <w:rFonts w:ascii="Verdana" w:eastAsia="Calibri" w:hAnsi="Verdana" w:cs="Verdana"/>
          <w:bCs/>
          <w:i/>
          <w:sz w:val="16"/>
          <w:szCs w:val="16"/>
          <w:lang w:val="es-ES_tradnl"/>
        </w:rPr>
        <w:t>Caso de las comunidades afrodescendientes desplazadas de la Cuenca del Río Cacarica (Operación Génesis) Vs. Colombia. Excepciones Preliminares, Fondo, Reparaciones y Costas.</w:t>
      </w:r>
      <w:r w:rsidRPr="002F649F">
        <w:rPr>
          <w:rFonts w:ascii="Verdana" w:eastAsia="Calibri" w:hAnsi="Verdana" w:cs="Verdana"/>
          <w:bCs/>
          <w:sz w:val="16"/>
          <w:szCs w:val="16"/>
          <w:lang w:val="es-ES_tradnl"/>
        </w:rPr>
        <w:t xml:space="preserve"> Sentencia de 20 de noviembre de 2013. Serie C No. 270, párr. </w:t>
      </w:r>
      <w:r w:rsidRPr="002F649F">
        <w:rPr>
          <w:rFonts w:ascii="Verdana" w:hAnsi="Verdana"/>
          <w:sz w:val="16"/>
          <w:szCs w:val="16"/>
          <w:lang w:val="es-ES_tradnl"/>
        </w:rPr>
        <w:t xml:space="preserve">284. </w:t>
      </w:r>
    </w:p>
    <w:p w14:paraId="58699FB0" w14:textId="77777777" w:rsidR="0046241E" w:rsidRPr="002F649F" w:rsidRDefault="0046241E" w:rsidP="002F649F">
      <w:pPr>
        <w:pStyle w:val="FootnoteText"/>
        <w:jc w:val="both"/>
        <w:rPr>
          <w:rFonts w:ascii="Verdana" w:hAnsi="Verdana"/>
          <w:sz w:val="16"/>
          <w:szCs w:val="16"/>
          <w:lang w:val="es-ES_tradnl"/>
        </w:rPr>
      </w:pPr>
    </w:p>
  </w:footnote>
  <w:footnote w:id="137">
    <w:p w14:paraId="3427FDC1" w14:textId="7857D789" w:rsidR="0046241E" w:rsidRPr="002F649F" w:rsidRDefault="0046241E" w:rsidP="002F649F">
      <w:pPr>
        <w:pStyle w:val="FootnoteText"/>
        <w:jc w:val="both"/>
        <w:rPr>
          <w:rFonts w:ascii="Verdana" w:hAnsi="Verdana"/>
          <w:color w:val="0000FF"/>
          <w:sz w:val="16"/>
          <w:szCs w:val="16"/>
          <w:u w:val="single"/>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i/>
          <w:sz w:val="16"/>
          <w:szCs w:val="16"/>
        </w:rPr>
        <w:t xml:space="preserve">Cfr. </w:t>
      </w:r>
      <w:r w:rsidRPr="002F649F">
        <w:rPr>
          <w:rFonts w:ascii="Verdana" w:hAnsi="Verdana"/>
          <w:sz w:val="16"/>
          <w:szCs w:val="16"/>
        </w:rPr>
        <w:t>Corte Constitucional de Colombia, Sentencia T-268 de 2003, Sentencia de 27 de marzo de 2003,  disponible en</w:t>
      </w:r>
      <w:r w:rsidRPr="00C066E4">
        <w:rPr>
          <w:rFonts w:ascii="Verdana" w:hAnsi="Verdana"/>
          <w:sz w:val="16"/>
          <w:szCs w:val="16"/>
        </w:rPr>
        <w:t xml:space="preserve">: </w:t>
      </w:r>
      <w:hyperlink r:id="rId4" w:history="1">
        <w:r w:rsidRPr="00C066E4">
          <w:rPr>
            <w:rStyle w:val="Hyperlink"/>
            <w:rFonts w:ascii="Verdana" w:hAnsi="Verdana"/>
            <w:color w:val="auto"/>
            <w:sz w:val="16"/>
            <w:szCs w:val="16"/>
            <w:u w:val="none"/>
          </w:rPr>
          <w:t>http://www.corteconstitucional.gov.co/relatoria/2003/t-268-03.htm</w:t>
        </w:r>
      </w:hyperlink>
      <w:r w:rsidRPr="00C066E4">
        <w:rPr>
          <w:rStyle w:val="Hyperlink"/>
          <w:rFonts w:ascii="Verdana" w:hAnsi="Verdana"/>
          <w:color w:val="auto"/>
          <w:sz w:val="16"/>
          <w:szCs w:val="16"/>
          <w:u w:val="none"/>
        </w:rPr>
        <w:t>.</w:t>
      </w:r>
    </w:p>
  </w:footnote>
  <w:footnote w:id="138">
    <w:p w14:paraId="5048A1FF" w14:textId="77777777" w:rsidR="0046241E" w:rsidRDefault="0046241E" w:rsidP="002F649F">
      <w:pPr>
        <w:pStyle w:val="FootnoteText"/>
        <w:jc w:val="both"/>
        <w:rPr>
          <w:rFonts w:ascii="Verdana" w:hAnsi="Verdana"/>
          <w:sz w:val="16"/>
          <w:szCs w:val="16"/>
        </w:rPr>
      </w:pPr>
    </w:p>
    <w:p w14:paraId="2DC7F5E4" w14:textId="4AB2E710" w:rsidR="0046241E" w:rsidRPr="002F649F" w:rsidRDefault="0046241E" w:rsidP="002F649F">
      <w:pPr>
        <w:pStyle w:val="FootnoteText"/>
        <w:jc w:val="both"/>
        <w:rPr>
          <w:rFonts w:ascii="Verdana" w:eastAsia="Calibri" w:hAnsi="Verdana" w:cs="Verdana"/>
          <w:bCs/>
          <w:sz w:val="16"/>
          <w:szCs w:val="16"/>
          <w:lang w:val="es-ES_tradnl"/>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Por ejemplo, en los casos que ha conocido el Tribunal Interamericano</w:t>
      </w:r>
      <w:r>
        <w:rPr>
          <w:rFonts w:ascii="Verdana" w:hAnsi="Verdana"/>
          <w:sz w:val="16"/>
          <w:szCs w:val="16"/>
        </w:rPr>
        <w:t xml:space="preserve"> se ha hecho énfasis entre la pé</w:t>
      </w:r>
      <w:r w:rsidRPr="002F649F">
        <w:rPr>
          <w:rFonts w:ascii="Verdana" w:hAnsi="Verdana"/>
          <w:sz w:val="16"/>
          <w:szCs w:val="16"/>
        </w:rPr>
        <w:t xml:space="preserve">rdida de la vivienda y otros bienes (electrodomésticos, dinero, medicamentos, ropa, artículos de higiene personal, ganado, cultivos, etc.). </w:t>
      </w:r>
      <w:r w:rsidRPr="002F649F">
        <w:rPr>
          <w:rFonts w:ascii="Verdana" w:hAnsi="Verdana"/>
          <w:i/>
          <w:sz w:val="16"/>
          <w:szCs w:val="16"/>
        </w:rPr>
        <w:t>Cfr.</w:t>
      </w:r>
      <w:r w:rsidRPr="002F649F">
        <w:rPr>
          <w:rFonts w:ascii="Verdana" w:hAnsi="Verdana"/>
          <w:sz w:val="16"/>
          <w:szCs w:val="16"/>
        </w:rPr>
        <w:t xml:space="preserve">  </w:t>
      </w:r>
      <w:r w:rsidRPr="002F649F">
        <w:rPr>
          <w:rFonts w:ascii="Verdana" w:hAnsi="Verdana" w:cs="Verdana"/>
          <w:bCs/>
          <w:sz w:val="16"/>
          <w:szCs w:val="16"/>
        </w:rPr>
        <w:t xml:space="preserve">Corte IDH. </w:t>
      </w:r>
      <w:r w:rsidRPr="002F649F">
        <w:rPr>
          <w:rFonts w:ascii="Verdana" w:hAnsi="Verdana" w:cs="Verdana"/>
          <w:bCs/>
          <w:i/>
          <w:sz w:val="16"/>
          <w:szCs w:val="16"/>
        </w:rPr>
        <w:t>Caso familia Barrios Vs. Venezuela. Fondo, Reparaciones y Costas</w:t>
      </w:r>
      <w:r w:rsidRPr="002F649F">
        <w:rPr>
          <w:rFonts w:ascii="Verdana" w:hAnsi="Verdana" w:cs="Verdana"/>
          <w:bCs/>
          <w:sz w:val="16"/>
          <w:szCs w:val="16"/>
        </w:rPr>
        <w:t xml:space="preserve">. Sentencia de 24 de noviembre de 2011. Serie C No. 237, </w:t>
      </w:r>
      <w:proofErr w:type="spellStart"/>
      <w:r w:rsidRPr="002F649F">
        <w:rPr>
          <w:rFonts w:ascii="Verdana" w:hAnsi="Verdana" w:cs="Verdana"/>
          <w:bCs/>
          <w:sz w:val="16"/>
          <w:szCs w:val="16"/>
        </w:rPr>
        <w:t>párrs</w:t>
      </w:r>
      <w:proofErr w:type="spellEnd"/>
      <w:r w:rsidRPr="002F649F">
        <w:rPr>
          <w:rFonts w:ascii="Verdana" w:hAnsi="Verdana" w:cs="Verdana"/>
          <w:bCs/>
          <w:sz w:val="16"/>
          <w:szCs w:val="16"/>
        </w:rPr>
        <w:t xml:space="preserve">. </w:t>
      </w:r>
      <w:r w:rsidRPr="002F649F">
        <w:rPr>
          <w:rFonts w:ascii="Verdana" w:hAnsi="Verdana"/>
          <w:sz w:val="16"/>
          <w:szCs w:val="16"/>
        </w:rPr>
        <w:t xml:space="preserve">148 a 150; </w:t>
      </w:r>
      <w:r w:rsidRPr="002F649F">
        <w:rPr>
          <w:rFonts w:ascii="Verdana" w:hAnsi="Verdana" w:cs="Verdana"/>
          <w:bCs/>
          <w:i/>
          <w:sz w:val="16"/>
          <w:szCs w:val="16"/>
        </w:rPr>
        <w:t xml:space="preserve">Caso </w:t>
      </w:r>
      <w:proofErr w:type="spellStart"/>
      <w:r w:rsidRPr="002F649F">
        <w:rPr>
          <w:rFonts w:ascii="Verdana" w:hAnsi="Verdana" w:cs="Verdana"/>
          <w:bCs/>
          <w:i/>
          <w:sz w:val="16"/>
          <w:szCs w:val="16"/>
        </w:rPr>
        <w:t>Uzcátegui</w:t>
      </w:r>
      <w:proofErr w:type="spellEnd"/>
      <w:r w:rsidRPr="002F649F">
        <w:rPr>
          <w:rFonts w:ascii="Verdana" w:hAnsi="Verdana" w:cs="Verdana"/>
          <w:bCs/>
          <w:i/>
          <w:sz w:val="16"/>
          <w:szCs w:val="16"/>
        </w:rPr>
        <w:t xml:space="preserve"> y otros Vs. Venezuela. Fondo y Reparaciones</w:t>
      </w:r>
      <w:r w:rsidRPr="002F649F">
        <w:rPr>
          <w:rFonts w:ascii="Verdana" w:hAnsi="Verdana" w:cs="Verdana"/>
          <w:bCs/>
          <w:sz w:val="16"/>
          <w:szCs w:val="16"/>
        </w:rPr>
        <w:t>. Sentencia de 3 de septiembre de 2012. Serie C No. 249, párr. 203</w:t>
      </w:r>
      <w:r w:rsidRPr="002F649F">
        <w:rPr>
          <w:rFonts w:ascii="Verdana" w:hAnsi="Verdana"/>
          <w:sz w:val="16"/>
          <w:szCs w:val="16"/>
        </w:rPr>
        <w:t xml:space="preserve">; </w:t>
      </w:r>
      <w:r w:rsidRPr="002F649F">
        <w:rPr>
          <w:rFonts w:ascii="Verdana" w:eastAsia="Calibri" w:hAnsi="Verdana" w:cs="Verdana"/>
          <w:bCs/>
          <w:i/>
          <w:sz w:val="16"/>
          <w:szCs w:val="16"/>
          <w:lang w:val="es-ES_tradnl"/>
        </w:rPr>
        <w:t>Caso Masacres de El Mozote y lugares aledaños Vs. El Salvador. Fondo, Reparaciones y Costas.</w:t>
      </w:r>
      <w:r w:rsidRPr="002F649F">
        <w:rPr>
          <w:rFonts w:ascii="Verdana" w:eastAsia="Calibri" w:hAnsi="Verdana" w:cs="Verdana"/>
          <w:bCs/>
          <w:sz w:val="16"/>
          <w:szCs w:val="16"/>
          <w:lang w:val="es-ES_tradnl"/>
        </w:rPr>
        <w:t xml:space="preserve"> Sentencia de 25 de octubre de 2012. Serie C No. 252, párr. 202 y </w:t>
      </w:r>
      <w:r w:rsidRPr="002F649F">
        <w:rPr>
          <w:rFonts w:ascii="Verdana" w:hAnsi="Verdana" w:cs="Verdana"/>
          <w:bCs/>
          <w:i/>
          <w:sz w:val="16"/>
          <w:szCs w:val="16"/>
        </w:rPr>
        <w:t>Caso Comunidad Campesina de Santa Bárbara Vs. Perú. Excepciones Preliminares, Fondo, Reparaciones y Costas.</w:t>
      </w:r>
      <w:r w:rsidRPr="002F649F">
        <w:rPr>
          <w:rFonts w:ascii="Verdana" w:hAnsi="Verdana" w:cs="Verdana"/>
          <w:bCs/>
          <w:sz w:val="16"/>
          <w:szCs w:val="16"/>
        </w:rPr>
        <w:t xml:space="preserve"> Sentencia de 01 de septiembre de 2015. Serie C No. 299, </w:t>
      </w:r>
      <w:r w:rsidRPr="002F649F">
        <w:rPr>
          <w:rFonts w:ascii="Verdana" w:hAnsi="Verdana"/>
          <w:sz w:val="16"/>
          <w:szCs w:val="16"/>
        </w:rPr>
        <w:t xml:space="preserve">párr. 204. </w:t>
      </w:r>
    </w:p>
  </w:footnote>
  <w:footnote w:id="139">
    <w:p w14:paraId="0D7B8696" w14:textId="77777777" w:rsidR="0046241E" w:rsidRDefault="0046241E" w:rsidP="002F649F">
      <w:pPr>
        <w:pStyle w:val="FootnoteText"/>
        <w:jc w:val="both"/>
        <w:rPr>
          <w:rFonts w:ascii="Verdana" w:hAnsi="Verdana"/>
          <w:sz w:val="16"/>
          <w:szCs w:val="16"/>
        </w:rPr>
      </w:pPr>
    </w:p>
    <w:p w14:paraId="20F4B382" w14:textId="68C81B4D" w:rsidR="0046241E" w:rsidRDefault="0046241E" w:rsidP="002F649F">
      <w:pPr>
        <w:pStyle w:val="FootnoteText"/>
        <w:jc w:val="both"/>
        <w:rPr>
          <w:rFonts w:ascii="Verdana" w:hAnsi="Verdana" w:cs="Arial"/>
          <w:bCs/>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Bajo este panorama, </w:t>
      </w:r>
      <w:r w:rsidRPr="002F649F">
        <w:rPr>
          <w:rFonts w:ascii="Verdana" w:hAnsi="Verdana"/>
          <w:i/>
          <w:sz w:val="16"/>
          <w:szCs w:val="16"/>
        </w:rPr>
        <w:t>las mujeres</w:t>
      </w:r>
      <w:r w:rsidRPr="002F649F">
        <w:rPr>
          <w:rFonts w:ascii="Verdana" w:hAnsi="Verdana"/>
          <w:sz w:val="16"/>
          <w:szCs w:val="16"/>
        </w:rPr>
        <w:t xml:space="preserve">, los niños, las personas mayores, los pueblos indígenas, las minorías étnicas y de otro tipo, así como los individuos y grupos vulnerables, se ven afectados en medida desproporcionada por esta práctica. En todos estos grupos las mujeres son particularmente vulnerables a causa de la discriminación jurídica y otras formas de discriminación que suelen darse en materia del derecho de propiedad, o del derecho al acceso a la propiedad o la vivienda. </w:t>
      </w:r>
      <w:r w:rsidRPr="002F649F">
        <w:rPr>
          <w:rFonts w:ascii="Verdana" w:hAnsi="Verdana"/>
          <w:i/>
          <w:sz w:val="16"/>
          <w:szCs w:val="16"/>
        </w:rPr>
        <w:t>Cfr.</w:t>
      </w:r>
      <w:r w:rsidRPr="002F649F">
        <w:rPr>
          <w:rFonts w:ascii="Verdana" w:hAnsi="Verdana"/>
          <w:sz w:val="16"/>
          <w:szCs w:val="16"/>
        </w:rPr>
        <w:t xml:space="preserve"> </w:t>
      </w:r>
      <w:r w:rsidRPr="002F649F">
        <w:rPr>
          <w:rFonts w:ascii="Verdana" w:hAnsi="Verdana" w:cs="Arial"/>
          <w:bCs/>
          <w:sz w:val="16"/>
          <w:szCs w:val="16"/>
        </w:rPr>
        <w:t xml:space="preserve">ONU, </w:t>
      </w:r>
      <w:r w:rsidRPr="002F649F">
        <w:rPr>
          <w:rFonts w:ascii="Verdana" w:hAnsi="Verdana" w:cs="Arial"/>
          <w:bCs/>
          <w:i/>
          <w:sz w:val="16"/>
          <w:szCs w:val="16"/>
        </w:rPr>
        <w:t>Comité de Derechos Económicos, Sociales y Culturales, Observación General 7, El derecho a una vivienda adecuada</w:t>
      </w:r>
      <w:r w:rsidRPr="002F649F">
        <w:rPr>
          <w:rFonts w:ascii="Verdana" w:hAnsi="Verdana" w:cs="Arial"/>
          <w:bCs/>
          <w:sz w:val="16"/>
          <w:szCs w:val="16"/>
        </w:rPr>
        <w:t xml:space="preserve"> (párrafo 1 del artículo 11 del Pacto): los desalojos forzosos (16º período de sesiones, 1997), U.N. Doc. E/1999/22, anexo IV (1997), pá</w:t>
      </w:r>
      <w:r>
        <w:rPr>
          <w:rFonts w:ascii="Verdana" w:hAnsi="Verdana" w:cs="Arial"/>
          <w:bCs/>
          <w:sz w:val="16"/>
          <w:szCs w:val="16"/>
        </w:rPr>
        <w:t>rr. 10</w:t>
      </w:r>
      <w:r w:rsidRPr="002F649F">
        <w:rPr>
          <w:rFonts w:ascii="Verdana" w:hAnsi="Verdana" w:cs="Arial"/>
          <w:bCs/>
          <w:sz w:val="16"/>
          <w:szCs w:val="16"/>
        </w:rPr>
        <w:t>.</w:t>
      </w:r>
    </w:p>
    <w:p w14:paraId="5FCC4A90" w14:textId="77777777" w:rsidR="0046241E" w:rsidRPr="002F649F" w:rsidRDefault="0046241E" w:rsidP="002F649F">
      <w:pPr>
        <w:pStyle w:val="FootnoteText"/>
        <w:jc w:val="both"/>
        <w:rPr>
          <w:rFonts w:ascii="Verdana" w:hAnsi="Verdana" w:cs="Arial"/>
          <w:bCs/>
          <w:sz w:val="16"/>
          <w:szCs w:val="16"/>
        </w:rPr>
      </w:pPr>
    </w:p>
  </w:footnote>
  <w:footnote w:id="140">
    <w:p w14:paraId="1D350D4A" w14:textId="616F6C77" w:rsidR="0046241E" w:rsidRPr="002F649F" w:rsidRDefault="0046241E" w:rsidP="002F649F">
      <w:pPr>
        <w:widowControl w:val="0"/>
        <w:autoSpaceDE w:val="0"/>
        <w:autoSpaceDN w:val="0"/>
        <w:adjustRightInd w:val="0"/>
        <w:jc w:val="both"/>
        <w:rPr>
          <w:rFonts w:ascii="Verdana" w:hAnsi="Verdana" w:cs="Times"/>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i/>
          <w:sz w:val="16"/>
          <w:szCs w:val="16"/>
        </w:rPr>
        <w:t>Cfr.</w:t>
      </w:r>
      <w:r w:rsidRPr="002F649F">
        <w:rPr>
          <w:rFonts w:ascii="Verdana" w:hAnsi="Verdana"/>
          <w:sz w:val="16"/>
          <w:szCs w:val="16"/>
        </w:rPr>
        <w:t xml:space="preserve"> Comité CEDAW, </w:t>
      </w:r>
      <w:r w:rsidRPr="002F649F">
        <w:rPr>
          <w:rFonts w:ascii="Verdana" w:hAnsi="Verdana"/>
          <w:i/>
          <w:sz w:val="16"/>
          <w:szCs w:val="16"/>
        </w:rPr>
        <w:t>Recomendación General No. 30,</w:t>
      </w:r>
      <w:r w:rsidRPr="002F649F">
        <w:rPr>
          <w:rFonts w:ascii="Verdana" w:hAnsi="Verdana"/>
          <w:sz w:val="16"/>
          <w:szCs w:val="16"/>
        </w:rPr>
        <w:t xml:space="preserve"> </w:t>
      </w:r>
      <w:r w:rsidRPr="002F649F">
        <w:rPr>
          <w:rFonts w:ascii="Verdana" w:hAnsi="Verdana" w:cs="Times New Roman"/>
          <w:i/>
          <w:sz w:val="16"/>
          <w:szCs w:val="16"/>
        </w:rPr>
        <w:t>sobre las mujeres en la prevención de conflictos y en situaciones de conflicto y posteriores a conflicto</w:t>
      </w:r>
      <w:r w:rsidRPr="002F649F">
        <w:rPr>
          <w:rFonts w:ascii="Verdana" w:hAnsi="Verdana" w:cs="Times"/>
          <w:sz w:val="16"/>
          <w:szCs w:val="16"/>
        </w:rPr>
        <w:t>, CEDAW/C/GC/30,  1 de noviembre de 2013, párr. 53.</w:t>
      </w:r>
    </w:p>
  </w:footnote>
  <w:footnote w:id="141">
    <w:p w14:paraId="7201A5B8" w14:textId="77777777" w:rsidR="0046241E" w:rsidRDefault="0046241E" w:rsidP="002F649F">
      <w:pPr>
        <w:widowControl w:val="0"/>
        <w:autoSpaceDE w:val="0"/>
        <w:autoSpaceDN w:val="0"/>
        <w:adjustRightInd w:val="0"/>
        <w:jc w:val="both"/>
        <w:rPr>
          <w:rFonts w:ascii="Verdana" w:hAnsi="Verdana"/>
          <w:sz w:val="16"/>
          <w:szCs w:val="16"/>
        </w:rPr>
      </w:pPr>
    </w:p>
    <w:p w14:paraId="0DAA234D" w14:textId="569D0902" w:rsidR="0046241E" w:rsidRPr="002F649F" w:rsidRDefault="0046241E" w:rsidP="002F649F">
      <w:pPr>
        <w:widowControl w:val="0"/>
        <w:autoSpaceDE w:val="0"/>
        <w:autoSpaceDN w:val="0"/>
        <w:adjustRightInd w:val="0"/>
        <w:jc w:val="both"/>
        <w:rPr>
          <w:rFonts w:ascii="Verdana" w:hAnsi="Verdana" w:cs="Times"/>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i/>
          <w:sz w:val="16"/>
          <w:szCs w:val="16"/>
        </w:rPr>
        <w:t>Cfr.</w:t>
      </w:r>
      <w:r w:rsidRPr="002F649F">
        <w:rPr>
          <w:rFonts w:ascii="Verdana" w:hAnsi="Verdana"/>
          <w:sz w:val="16"/>
          <w:szCs w:val="16"/>
        </w:rPr>
        <w:t xml:space="preserve"> ONU, </w:t>
      </w:r>
      <w:r w:rsidRPr="002F649F">
        <w:rPr>
          <w:rFonts w:ascii="Verdana" w:hAnsi="Verdana" w:cs="Times"/>
          <w:i/>
          <w:sz w:val="16"/>
          <w:szCs w:val="16"/>
        </w:rPr>
        <w:t>La mujer y la vivienda adecuada, Estudio realizado por el Relator Especial sobre una vivienda adecuada</w:t>
      </w:r>
      <w:r w:rsidRPr="002F649F">
        <w:rPr>
          <w:rFonts w:ascii="Verdana" w:hAnsi="Verdana" w:cs="Times"/>
          <w:sz w:val="16"/>
          <w:szCs w:val="16"/>
        </w:rPr>
        <w:t>,</w:t>
      </w:r>
      <w:r w:rsidRPr="002F649F">
        <w:rPr>
          <w:rFonts w:ascii="Verdana" w:hAnsi="Verdana" w:cs="Times"/>
          <w:i/>
          <w:sz w:val="16"/>
          <w:szCs w:val="16"/>
        </w:rPr>
        <w:t xml:space="preserve"> como parte del derecho a un nivel de vida adecuado y sobre el derecho a la no discriminación</w:t>
      </w:r>
      <w:r w:rsidRPr="002F649F">
        <w:rPr>
          <w:rFonts w:ascii="Verdana" w:hAnsi="Verdana" w:cs="Times"/>
          <w:sz w:val="16"/>
          <w:szCs w:val="16"/>
        </w:rPr>
        <w:t xml:space="preserve">, Sr. </w:t>
      </w:r>
      <w:proofErr w:type="spellStart"/>
      <w:r w:rsidRPr="002F649F">
        <w:rPr>
          <w:rFonts w:ascii="Verdana" w:hAnsi="Verdana" w:cs="Times"/>
          <w:sz w:val="16"/>
          <w:szCs w:val="16"/>
        </w:rPr>
        <w:t>Miloon</w:t>
      </w:r>
      <w:proofErr w:type="spellEnd"/>
      <w:r w:rsidRPr="002F649F">
        <w:rPr>
          <w:rFonts w:ascii="Verdana" w:hAnsi="Verdana" w:cs="Times"/>
          <w:sz w:val="16"/>
          <w:szCs w:val="16"/>
        </w:rPr>
        <w:t xml:space="preserve"> </w:t>
      </w:r>
      <w:proofErr w:type="spellStart"/>
      <w:r w:rsidRPr="002F649F">
        <w:rPr>
          <w:rFonts w:ascii="Verdana" w:hAnsi="Verdana" w:cs="Times"/>
          <w:sz w:val="16"/>
          <w:szCs w:val="16"/>
        </w:rPr>
        <w:t>Kothari</w:t>
      </w:r>
      <w:proofErr w:type="spellEnd"/>
      <w:r w:rsidRPr="002F649F">
        <w:rPr>
          <w:rFonts w:ascii="Verdana" w:hAnsi="Verdana" w:cs="Times"/>
          <w:sz w:val="16"/>
          <w:szCs w:val="16"/>
        </w:rPr>
        <w:t>, E/CN.4/2003/55, 26 de marzo de 2003, párr. 33.</w:t>
      </w:r>
    </w:p>
  </w:footnote>
  <w:footnote w:id="142">
    <w:p w14:paraId="443F7C54" w14:textId="77777777" w:rsidR="0046241E" w:rsidRDefault="0046241E" w:rsidP="002F649F">
      <w:pPr>
        <w:widowControl w:val="0"/>
        <w:autoSpaceDE w:val="0"/>
        <w:autoSpaceDN w:val="0"/>
        <w:adjustRightInd w:val="0"/>
        <w:jc w:val="both"/>
        <w:rPr>
          <w:rFonts w:ascii="Verdana" w:hAnsi="Verdana"/>
          <w:sz w:val="16"/>
          <w:szCs w:val="16"/>
        </w:rPr>
      </w:pPr>
    </w:p>
    <w:p w14:paraId="7B1C4ED6" w14:textId="7E53241B" w:rsidR="0046241E" w:rsidRPr="002F649F" w:rsidRDefault="0046241E" w:rsidP="002F649F">
      <w:pPr>
        <w:widowControl w:val="0"/>
        <w:autoSpaceDE w:val="0"/>
        <w:autoSpaceDN w:val="0"/>
        <w:adjustRightInd w:val="0"/>
        <w:jc w:val="both"/>
        <w:rPr>
          <w:rFonts w:ascii="Verdana" w:hAnsi="Verdana" w:cs="Times"/>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ONU</w:t>
      </w:r>
      <w:r w:rsidRPr="002F649F">
        <w:rPr>
          <w:rFonts w:ascii="Verdana" w:hAnsi="Verdana"/>
          <w:i/>
          <w:sz w:val="16"/>
          <w:szCs w:val="16"/>
        </w:rPr>
        <w:t xml:space="preserve">, </w:t>
      </w:r>
      <w:r w:rsidRPr="002F649F">
        <w:rPr>
          <w:rFonts w:ascii="Verdana" w:hAnsi="Verdana" w:cs="Times"/>
          <w:i/>
          <w:sz w:val="16"/>
          <w:szCs w:val="16"/>
        </w:rPr>
        <w:t xml:space="preserve">Informe de la Sra. Margaret </w:t>
      </w:r>
      <w:proofErr w:type="spellStart"/>
      <w:r w:rsidRPr="002F649F">
        <w:rPr>
          <w:rFonts w:ascii="Verdana" w:hAnsi="Verdana" w:cs="Times"/>
          <w:i/>
          <w:sz w:val="16"/>
          <w:szCs w:val="16"/>
        </w:rPr>
        <w:t>Sekaggya</w:t>
      </w:r>
      <w:proofErr w:type="spellEnd"/>
      <w:r w:rsidRPr="002F649F">
        <w:rPr>
          <w:rFonts w:ascii="Verdana" w:hAnsi="Verdana" w:cs="Times"/>
          <w:i/>
          <w:sz w:val="16"/>
          <w:szCs w:val="16"/>
        </w:rPr>
        <w:t>, Relatora Especial sobre la situación de los defensores de los derechos humanos</w:t>
      </w:r>
      <w:r w:rsidRPr="002F649F">
        <w:rPr>
          <w:rFonts w:ascii="Verdana" w:hAnsi="Verdana" w:cs="Times"/>
          <w:sz w:val="16"/>
          <w:szCs w:val="16"/>
        </w:rPr>
        <w:t xml:space="preserve">, A/HRC/16/44, 20 de diciembre de 2010, párr. 99.  </w:t>
      </w:r>
    </w:p>
  </w:footnote>
  <w:footnote w:id="143">
    <w:p w14:paraId="52917F5A" w14:textId="77777777" w:rsidR="0046241E" w:rsidRDefault="0046241E" w:rsidP="002F649F">
      <w:pPr>
        <w:pStyle w:val="FootnoteText"/>
        <w:jc w:val="both"/>
        <w:rPr>
          <w:rFonts w:ascii="Verdana" w:hAnsi="Verdana"/>
          <w:sz w:val="16"/>
          <w:szCs w:val="16"/>
        </w:rPr>
      </w:pPr>
    </w:p>
    <w:p w14:paraId="606F25D4" w14:textId="4ABB67F6" w:rsidR="0046241E" w:rsidRDefault="0046241E" w:rsidP="002F649F">
      <w:pPr>
        <w:pStyle w:val="FootnoteText"/>
        <w:jc w:val="both"/>
        <w:rPr>
          <w:rFonts w:ascii="Verdana" w:hAnsi="Verdana" w:cs="Times"/>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ONU, </w:t>
      </w:r>
      <w:r w:rsidRPr="002F649F">
        <w:rPr>
          <w:rFonts w:ascii="Verdana" w:hAnsi="Verdana" w:cs="Times"/>
          <w:i/>
          <w:sz w:val="16"/>
          <w:szCs w:val="16"/>
        </w:rPr>
        <w:t xml:space="preserve">Informe de la Sra. Margaret </w:t>
      </w:r>
      <w:proofErr w:type="spellStart"/>
      <w:r w:rsidRPr="002F649F">
        <w:rPr>
          <w:rFonts w:ascii="Verdana" w:hAnsi="Verdana" w:cs="Times"/>
          <w:i/>
          <w:sz w:val="16"/>
          <w:szCs w:val="16"/>
        </w:rPr>
        <w:t>Sekaggya</w:t>
      </w:r>
      <w:proofErr w:type="spellEnd"/>
      <w:r w:rsidRPr="002F649F">
        <w:rPr>
          <w:rFonts w:ascii="Verdana" w:hAnsi="Verdana" w:cs="Times"/>
          <w:i/>
          <w:sz w:val="16"/>
          <w:szCs w:val="16"/>
        </w:rPr>
        <w:t>, Relatora Especial sobre la situación de los defensores de los derechos humanos</w:t>
      </w:r>
      <w:r w:rsidRPr="002F649F">
        <w:rPr>
          <w:rFonts w:ascii="Verdana" w:hAnsi="Verdana" w:cs="Times"/>
          <w:sz w:val="16"/>
          <w:szCs w:val="16"/>
        </w:rPr>
        <w:t>, A/HRC/16/44, 20 de diciembre de 2010, párr. 94.</w:t>
      </w:r>
    </w:p>
    <w:p w14:paraId="6320B1C5" w14:textId="77777777" w:rsidR="0046241E" w:rsidRPr="002F649F" w:rsidRDefault="0046241E" w:rsidP="002F649F">
      <w:pPr>
        <w:pStyle w:val="FootnoteText"/>
        <w:jc w:val="both"/>
        <w:rPr>
          <w:rFonts w:ascii="Verdana" w:hAnsi="Verdana"/>
          <w:sz w:val="16"/>
          <w:szCs w:val="16"/>
          <w:lang w:val="es-ES_tradnl"/>
        </w:rPr>
      </w:pPr>
    </w:p>
  </w:footnote>
  <w:footnote w:id="144">
    <w:p w14:paraId="643FE760" w14:textId="51320DF0" w:rsidR="0046241E"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85FAA">
        <w:rPr>
          <w:rFonts w:ascii="Verdana" w:hAnsi="Verdana"/>
          <w:i/>
          <w:sz w:val="16"/>
          <w:szCs w:val="16"/>
        </w:rPr>
        <w:t>Cfr.</w:t>
      </w:r>
      <w:r w:rsidRPr="00285FAA">
        <w:rPr>
          <w:rFonts w:ascii="Verdana" w:hAnsi="Verdana"/>
          <w:sz w:val="16"/>
          <w:szCs w:val="16"/>
        </w:rPr>
        <w:t xml:space="preserve"> Corte IDH. </w:t>
      </w:r>
      <w:r w:rsidRPr="00285FAA">
        <w:rPr>
          <w:rFonts w:ascii="Verdana" w:hAnsi="Verdana"/>
          <w:i/>
          <w:sz w:val="16"/>
          <w:szCs w:val="16"/>
        </w:rPr>
        <w:t xml:space="preserve">Caso </w:t>
      </w:r>
      <w:proofErr w:type="spellStart"/>
      <w:r w:rsidRPr="00285FAA">
        <w:rPr>
          <w:rFonts w:ascii="Verdana" w:hAnsi="Verdana"/>
          <w:i/>
          <w:sz w:val="16"/>
          <w:szCs w:val="16"/>
        </w:rPr>
        <w:t>Yarce</w:t>
      </w:r>
      <w:proofErr w:type="spellEnd"/>
      <w:r w:rsidRPr="00285FAA">
        <w:rPr>
          <w:rFonts w:ascii="Verdana" w:hAnsi="Verdana"/>
          <w:i/>
          <w:sz w:val="16"/>
          <w:szCs w:val="16"/>
        </w:rPr>
        <w:t xml:space="preserve"> y otras Vs. Colombia. Excepción Preliminar, Fondo, Reparaciones y Costas.</w:t>
      </w:r>
      <w:r w:rsidRPr="00285FAA">
        <w:rPr>
          <w:rFonts w:ascii="Verdana" w:hAnsi="Verdana"/>
          <w:sz w:val="16"/>
          <w:szCs w:val="16"/>
        </w:rPr>
        <w:t xml:space="preserve"> </w:t>
      </w:r>
      <w:r>
        <w:rPr>
          <w:rFonts w:ascii="Verdana" w:hAnsi="Verdana"/>
          <w:sz w:val="16"/>
          <w:szCs w:val="16"/>
        </w:rPr>
        <w:t>Sentencia de 22 de noviembre de</w:t>
      </w:r>
      <w:r w:rsidRPr="00285FAA">
        <w:rPr>
          <w:rFonts w:ascii="Verdana" w:hAnsi="Verdana"/>
          <w:sz w:val="16"/>
          <w:szCs w:val="16"/>
        </w:rPr>
        <w:t xml:space="preserve"> 2016, </w:t>
      </w:r>
      <w:r w:rsidRPr="000D1C69">
        <w:rPr>
          <w:rFonts w:ascii="Verdana" w:hAnsi="Verdana"/>
          <w:sz w:val="16"/>
          <w:szCs w:val="16"/>
        </w:rPr>
        <w:t xml:space="preserve">Serie C </w:t>
      </w:r>
      <w:r w:rsidRPr="00DB01B1">
        <w:rPr>
          <w:rFonts w:ascii="Verdana" w:hAnsi="Verdana"/>
          <w:sz w:val="16"/>
          <w:szCs w:val="16"/>
        </w:rPr>
        <w:t>No. 325</w:t>
      </w:r>
      <w:r w:rsidRPr="000D1C69">
        <w:rPr>
          <w:rFonts w:ascii="Verdana" w:hAnsi="Verdana"/>
          <w:sz w:val="16"/>
          <w:szCs w:val="16"/>
        </w:rPr>
        <w:t>, párr. 85.</w:t>
      </w:r>
      <w:r w:rsidRPr="00285FAA">
        <w:rPr>
          <w:rFonts w:ascii="Verdana" w:hAnsi="Verdana"/>
          <w:sz w:val="16"/>
          <w:szCs w:val="16"/>
        </w:rPr>
        <w:t xml:space="preserve"> </w:t>
      </w:r>
    </w:p>
    <w:p w14:paraId="63CA88F7" w14:textId="77777777" w:rsidR="0046241E" w:rsidRPr="00285FAA" w:rsidRDefault="0046241E" w:rsidP="002F649F">
      <w:pPr>
        <w:pStyle w:val="FootnoteText"/>
        <w:jc w:val="both"/>
        <w:rPr>
          <w:rFonts w:ascii="Verdana" w:hAnsi="Verdana"/>
          <w:i/>
          <w:sz w:val="16"/>
          <w:szCs w:val="16"/>
          <w:lang w:val="es-ES_tradnl"/>
        </w:rPr>
      </w:pPr>
    </w:p>
  </w:footnote>
  <w:footnote w:id="145">
    <w:p w14:paraId="5069D39D" w14:textId="420BF27A" w:rsidR="0046241E" w:rsidRPr="00285FAA" w:rsidRDefault="0046241E" w:rsidP="002F649F">
      <w:pPr>
        <w:pStyle w:val="FootnoteText"/>
        <w:jc w:val="both"/>
        <w:rPr>
          <w:rFonts w:ascii="Verdana" w:hAnsi="Verdana"/>
          <w:sz w:val="16"/>
          <w:szCs w:val="16"/>
        </w:rPr>
      </w:pPr>
      <w:r w:rsidRPr="00285FAA">
        <w:rPr>
          <w:rStyle w:val="FootnoteReference"/>
          <w:rFonts w:ascii="Verdana" w:hAnsi="Verdana"/>
          <w:sz w:val="16"/>
          <w:szCs w:val="16"/>
        </w:rPr>
        <w:footnoteRef/>
      </w:r>
      <w:r w:rsidRPr="00285FAA">
        <w:rPr>
          <w:rFonts w:ascii="Verdana" w:hAnsi="Verdana"/>
          <w:sz w:val="16"/>
          <w:szCs w:val="16"/>
        </w:rPr>
        <w:t xml:space="preserve"> </w:t>
      </w:r>
      <w:r w:rsidRPr="00285FAA">
        <w:rPr>
          <w:rFonts w:ascii="Verdana" w:hAnsi="Verdana"/>
          <w:sz w:val="16"/>
          <w:szCs w:val="16"/>
        </w:rPr>
        <w:tab/>
      </w:r>
      <w:r w:rsidRPr="00285FAA">
        <w:rPr>
          <w:rFonts w:ascii="Verdana" w:hAnsi="Verdana"/>
          <w:i/>
          <w:sz w:val="16"/>
          <w:szCs w:val="16"/>
        </w:rPr>
        <w:t>Cfr.</w:t>
      </w:r>
      <w:r w:rsidRPr="00285FAA">
        <w:rPr>
          <w:rFonts w:ascii="Verdana" w:hAnsi="Verdana"/>
          <w:sz w:val="16"/>
          <w:szCs w:val="16"/>
        </w:rPr>
        <w:t xml:space="preserve"> Corte IDH. </w:t>
      </w:r>
      <w:r w:rsidRPr="00285FAA">
        <w:rPr>
          <w:rFonts w:ascii="Verdana" w:hAnsi="Verdana"/>
          <w:i/>
          <w:sz w:val="16"/>
          <w:szCs w:val="16"/>
        </w:rPr>
        <w:t xml:space="preserve">Caso </w:t>
      </w:r>
      <w:proofErr w:type="spellStart"/>
      <w:r w:rsidRPr="00285FAA">
        <w:rPr>
          <w:rFonts w:ascii="Verdana" w:hAnsi="Verdana"/>
          <w:i/>
          <w:sz w:val="16"/>
          <w:szCs w:val="16"/>
        </w:rPr>
        <w:t>Yarce</w:t>
      </w:r>
      <w:proofErr w:type="spellEnd"/>
      <w:r w:rsidRPr="00285FAA">
        <w:rPr>
          <w:rFonts w:ascii="Verdana" w:hAnsi="Verdana"/>
          <w:i/>
          <w:sz w:val="16"/>
          <w:szCs w:val="16"/>
        </w:rPr>
        <w:t xml:space="preserve"> y otras Vs. Colombia. Excepción Preliminar, Fondo, Reparaciones y Costas.</w:t>
      </w:r>
      <w:r w:rsidRPr="00285FAA">
        <w:rPr>
          <w:rFonts w:ascii="Verdana" w:hAnsi="Verdana"/>
          <w:sz w:val="16"/>
          <w:szCs w:val="16"/>
        </w:rPr>
        <w:t xml:space="preserve"> Sentencia de 22 de noviembre de  2016, </w:t>
      </w:r>
      <w:r w:rsidRPr="00591DCC">
        <w:rPr>
          <w:rFonts w:ascii="Verdana" w:hAnsi="Verdana"/>
          <w:sz w:val="16"/>
          <w:szCs w:val="16"/>
        </w:rPr>
        <w:t xml:space="preserve">Serie C No. 325, </w:t>
      </w:r>
      <w:r>
        <w:rPr>
          <w:rFonts w:ascii="Verdana" w:hAnsi="Verdana"/>
          <w:sz w:val="16"/>
          <w:szCs w:val="16"/>
        </w:rPr>
        <w:t xml:space="preserve"> párr. 98</w:t>
      </w:r>
      <w:r w:rsidRPr="00591DCC">
        <w:rPr>
          <w:rFonts w:ascii="Verdana" w:hAnsi="Verdana"/>
          <w:sz w:val="16"/>
          <w:szCs w:val="16"/>
        </w:rPr>
        <w:t>.</w:t>
      </w:r>
    </w:p>
  </w:footnote>
  <w:footnote w:id="146">
    <w:p w14:paraId="5CC3EAF3" w14:textId="77777777" w:rsidR="0046241E" w:rsidRPr="00285FAA" w:rsidRDefault="0046241E" w:rsidP="002F649F">
      <w:pPr>
        <w:pStyle w:val="FootnoteText"/>
        <w:jc w:val="both"/>
        <w:rPr>
          <w:rFonts w:ascii="Verdana" w:hAnsi="Verdana"/>
          <w:sz w:val="16"/>
          <w:szCs w:val="16"/>
        </w:rPr>
      </w:pPr>
    </w:p>
    <w:p w14:paraId="137B7161" w14:textId="24BA3D6E" w:rsidR="0046241E" w:rsidRPr="00285FAA" w:rsidRDefault="0046241E" w:rsidP="002F649F">
      <w:pPr>
        <w:pStyle w:val="FootnoteText"/>
        <w:jc w:val="both"/>
        <w:rPr>
          <w:rFonts w:ascii="Verdana" w:hAnsi="Verdana"/>
          <w:sz w:val="16"/>
          <w:szCs w:val="16"/>
        </w:rPr>
      </w:pPr>
      <w:r w:rsidRPr="00285FAA">
        <w:rPr>
          <w:rStyle w:val="FootnoteReference"/>
          <w:rFonts w:ascii="Verdana" w:hAnsi="Verdana"/>
          <w:sz w:val="16"/>
          <w:szCs w:val="16"/>
        </w:rPr>
        <w:footnoteRef/>
      </w:r>
      <w:r w:rsidRPr="00285FAA">
        <w:rPr>
          <w:rFonts w:ascii="Verdana" w:hAnsi="Verdana"/>
          <w:sz w:val="16"/>
          <w:szCs w:val="16"/>
        </w:rPr>
        <w:t xml:space="preserve"> </w:t>
      </w:r>
      <w:r w:rsidRPr="00285FAA">
        <w:rPr>
          <w:rFonts w:ascii="Verdana" w:hAnsi="Verdana"/>
          <w:sz w:val="16"/>
          <w:szCs w:val="16"/>
        </w:rPr>
        <w:tab/>
      </w:r>
      <w:r w:rsidRPr="00285FAA">
        <w:rPr>
          <w:rFonts w:ascii="Verdana" w:hAnsi="Verdana"/>
          <w:i/>
          <w:sz w:val="16"/>
          <w:szCs w:val="16"/>
        </w:rPr>
        <w:t>Cfr.</w:t>
      </w:r>
      <w:r w:rsidRPr="00285FAA">
        <w:rPr>
          <w:rFonts w:ascii="Verdana" w:hAnsi="Verdana"/>
          <w:sz w:val="16"/>
          <w:szCs w:val="16"/>
        </w:rPr>
        <w:t xml:space="preserve"> Corte IDH. </w:t>
      </w:r>
      <w:r w:rsidRPr="00285FAA">
        <w:rPr>
          <w:rFonts w:ascii="Verdana" w:hAnsi="Verdana"/>
          <w:i/>
          <w:sz w:val="16"/>
          <w:szCs w:val="16"/>
        </w:rPr>
        <w:t xml:space="preserve">Caso </w:t>
      </w:r>
      <w:proofErr w:type="spellStart"/>
      <w:r w:rsidRPr="00285FAA">
        <w:rPr>
          <w:rFonts w:ascii="Verdana" w:hAnsi="Verdana"/>
          <w:i/>
          <w:sz w:val="16"/>
          <w:szCs w:val="16"/>
        </w:rPr>
        <w:t>Yarce</w:t>
      </w:r>
      <w:proofErr w:type="spellEnd"/>
      <w:r w:rsidRPr="00285FAA">
        <w:rPr>
          <w:rFonts w:ascii="Verdana" w:hAnsi="Verdana"/>
          <w:i/>
          <w:sz w:val="16"/>
          <w:szCs w:val="16"/>
        </w:rPr>
        <w:t xml:space="preserve"> y otras Vs. Colombia. Excepción Preliminar, Fondo, Reparaciones y Costas.</w:t>
      </w:r>
      <w:r w:rsidRPr="00285FAA">
        <w:rPr>
          <w:rFonts w:ascii="Verdana" w:hAnsi="Verdana"/>
          <w:sz w:val="16"/>
          <w:szCs w:val="16"/>
        </w:rPr>
        <w:t xml:space="preserve"> S</w:t>
      </w:r>
      <w:r>
        <w:rPr>
          <w:rFonts w:ascii="Verdana" w:hAnsi="Verdana"/>
          <w:sz w:val="16"/>
          <w:szCs w:val="16"/>
        </w:rPr>
        <w:t xml:space="preserve">entencia de 22 de noviembre de </w:t>
      </w:r>
      <w:r w:rsidRPr="00285FAA">
        <w:rPr>
          <w:rFonts w:ascii="Verdana" w:hAnsi="Verdana"/>
          <w:sz w:val="16"/>
          <w:szCs w:val="16"/>
        </w:rPr>
        <w:t xml:space="preserve">2016, </w:t>
      </w:r>
      <w:r w:rsidRPr="00591DCC">
        <w:rPr>
          <w:rFonts w:ascii="Verdana" w:hAnsi="Verdana"/>
          <w:sz w:val="16"/>
          <w:szCs w:val="16"/>
        </w:rPr>
        <w:t>Serie C No. 325, párr. 97.</w:t>
      </w:r>
    </w:p>
  </w:footnote>
  <w:footnote w:id="147">
    <w:p w14:paraId="6319497C" w14:textId="77777777" w:rsidR="0046241E" w:rsidRPr="00285FAA" w:rsidRDefault="0046241E" w:rsidP="002F649F">
      <w:pPr>
        <w:pStyle w:val="FootnoteText"/>
        <w:jc w:val="both"/>
        <w:rPr>
          <w:rFonts w:ascii="Verdana" w:hAnsi="Verdana"/>
          <w:sz w:val="16"/>
          <w:szCs w:val="16"/>
        </w:rPr>
      </w:pPr>
    </w:p>
    <w:p w14:paraId="1FE9A782" w14:textId="227BAC48" w:rsidR="0046241E" w:rsidRPr="00285FAA" w:rsidRDefault="0046241E" w:rsidP="002F649F">
      <w:pPr>
        <w:pStyle w:val="FootnoteText"/>
        <w:jc w:val="both"/>
        <w:rPr>
          <w:rFonts w:ascii="Verdana" w:hAnsi="Verdana"/>
          <w:sz w:val="16"/>
          <w:szCs w:val="16"/>
        </w:rPr>
      </w:pPr>
      <w:r w:rsidRPr="00285FAA">
        <w:rPr>
          <w:rStyle w:val="FootnoteReference"/>
          <w:rFonts w:ascii="Verdana" w:hAnsi="Verdana"/>
          <w:sz w:val="16"/>
          <w:szCs w:val="16"/>
        </w:rPr>
        <w:footnoteRef/>
      </w:r>
      <w:r w:rsidRPr="00285FAA">
        <w:rPr>
          <w:rFonts w:ascii="Verdana" w:hAnsi="Verdana"/>
          <w:sz w:val="16"/>
          <w:szCs w:val="16"/>
        </w:rPr>
        <w:tab/>
      </w:r>
      <w:r w:rsidRPr="00285FAA">
        <w:rPr>
          <w:rFonts w:ascii="Verdana" w:hAnsi="Verdana"/>
          <w:i/>
          <w:sz w:val="16"/>
          <w:szCs w:val="16"/>
        </w:rPr>
        <w:t>Cfr.</w:t>
      </w:r>
      <w:r w:rsidRPr="00285FAA">
        <w:rPr>
          <w:rFonts w:ascii="Verdana" w:hAnsi="Verdana"/>
          <w:sz w:val="16"/>
          <w:szCs w:val="16"/>
        </w:rPr>
        <w:t xml:space="preserve"> Corte IDH. </w:t>
      </w:r>
      <w:r w:rsidRPr="00285FAA">
        <w:rPr>
          <w:rFonts w:ascii="Verdana" w:hAnsi="Verdana"/>
          <w:i/>
          <w:sz w:val="16"/>
          <w:szCs w:val="16"/>
        </w:rPr>
        <w:t xml:space="preserve">Caso </w:t>
      </w:r>
      <w:proofErr w:type="spellStart"/>
      <w:r w:rsidRPr="00285FAA">
        <w:rPr>
          <w:rFonts w:ascii="Verdana" w:hAnsi="Verdana"/>
          <w:i/>
          <w:sz w:val="16"/>
          <w:szCs w:val="16"/>
        </w:rPr>
        <w:t>Yarce</w:t>
      </w:r>
      <w:proofErr w:type="spellEnd"/>
      <w:r w:rsidRPr="00285FAA">
        <w:rPr>
          <w:rFonts w:ascii="Verdana" w:hAnsi="Verdana"/>
          <w:i/>
          <w:sz w:val="16"/>
          <w:szCs w:val="16"/>
        </w:rPr>
        <w:t xml:space="preserve"> y otras Vs. Colombia. Excepción Preliminar, Fondo, Reparaciones y Costas</w:t>
      </w:r>
      <w:r w:rsidRPr="00285FAA">
        <w:rPr>
          <w:rFonts w:ascii="Verdana" w:hAnsi="Verdana"/>
          <w:sz w:val="16"/>
          <w:szCs w:val="16"/>
        </w:rPr>
        <w:t xml:space="preserve">. </w:t>
      </w:r>
      <w:r>
        <w:rPr>
          <w:rFonts w:ascii="Verdana" w:hAnsi="Verdana"/>
          <w:sz w:val="16"/>
          <w:szCs w:val="16"/>
        </w:rPr>
        <w:t>Sentencia de 22 de noviembre de</w:t>
      </w:r>
      <w:r w:rsidRPr="00285FAA">
        <w:rPr>
          <w:rFonts w:ascii="Verdana" w:hAnsi="Verdana"/>
          <w:sz w:val="16"/>
          <w:szCs w:val="16"/>
        </w:rPr>
        <w:t xml:space="preserve"> 2016, Serie C </w:t>
      </w:r>
      <w:r>
        <w:rPr>
          <w:rFonts w:ascii="Verdana" w:hAnsi="Verdana"/>
          <w:sz w:val="16"/>
          <w:szCs w:val="16"/>
        </w:rPr>
        <w:t>No. 325</w:t>
      </w:r>
      <w:r w:rsidRPr="00285FAA">
        <w:rPr>
          <w:rFonts w:ascii="Verdana" w:hAnsi="Verdana"/>
          <w:sz w:val="16"/>
          <w:szCs w:val="16"/>
        </w:rPr>
        <w:t xml:space="preserve">, párr. 99. </w:t>
      </w:r>
    </w:p>
  </w:footnote>
  <w:footnote w:id="148">
    <w:p w14:paraId="5C2518C0" w14:textId="77777777" w:rsidR="0046241E" w:rsidRPr="00285FAA" w:rsidRDefault="0046241E" w:rsidP="002F649F">
      <w:pPr>
        <w:pStyle w:val="FootnoteText"/>
        <w:jc w:val="both"/>
        <w:rPr>
          <w:rFonts w:ascii="Verdana" w:hAnsi="Verdana"/>
          <w:sz w:val="16"/>
          <w:szCs w:val="16"/>
        </w:rPr>
      </w:pPr>
    </w:p>
    <w:p w14:paraId="51DCDC10" w14:textId="5F60A916" w:rsidR="0046241E" w:rsidRPr="002F649F" w:rsidRDefault="0046241E" w:rsidP="002F649F">
      <w:pPr>
        <w:pStyle w:val="FootnoteText"/>
        <w:jc w:val="both"/>
        <w:rPr>
          <w:rFonts w:ascii="Verdana" w:hAnsi="Verdana"/>
          <w:sz w:val="16"/>
          <w:szCs w:val="16"/>
        </w:rPr>
      </w:pPr>
      <w:r w:rsidRPr="00285FAA">
        <w:rPr>
          <w:rStyle w:val="FootnoteReference"/>
          <w:rFonts w:ascii="Verdana" w:hAnsi="Verdana"/>
          <w:sz w:val="16"/>
          <w:szCs w:val="16"/>
        </w:rPr>
        <w:footnoteRef/>
      </w:r>
      <w:r w:rsidRPr="00285FAA">
        <w:rPr>
          <w:rFonts w:ascii="Verdana" w:hAnsi="Verdana"/>
          <w:sz w:val="16"/>
          <w:szCs w:val="16"/>
        </w:rPr>
        <w:t xml:space="preserve"> </w:t>
      </w:r>
      <w:r w:rsidRPr="00285FAA">
        <w:rPr>
          <w:rFonts w:ascii="Verdana" w:hAnsi="Verdana"/>
          <w:sz w:val="16"/>
          <w:szCs w:val="16"/>
        </w:rPr>
        <w:tab/>
      </w:r>
      <w:r w:rsidRPr="00285FAA">
        <w:rPr>
          <w:rFonts w:ascii="Verdana" w:hAnsi="Verdana"/>
          <w:i/>
          <w:sz w:val="16"/>
          <w:szCs w:val="16"/>
        </w:rPr>
        <w:t>Cfr.</w:t>
      </w:r>
      <w:r w:rsidRPr="00285FAA">
        <w:rPr>
          <w:rFonts w:ascii="Verdana" w:hAnsi="Verdana"/>
          <w:sz w:val="16"/>
          <w:szCs w:val="16"/>
        </w:rPr>
        <w:t xml:space="preserve"> Corte IDH. </w:t>
      </w:r>
      <w:r w:rsidRPr="00285FAA">
        <w:rPr>
          <w:rFonts w:ascii="Verdana" w:hAnsi="Verdana"/>
          <w:i/>
          <w:sz w:val="16"/>
          <w:szCs w:val="16"/>
        </w:rPr>
        <w:t xml:space="preserve">Caso </w:t>
      </w:r>
      <w:proofErr w:type="spellStart"/>
      <w:r w:rsidRPr="00285FAA">
        <w:rPr>
          <w:rFonts w:ascii="Verdana" w:hAnsi="Verdana"/>
          <w:i/>
          <w:sz w:val="16"/>
          <w:szCs w:val="16"/>
        </w:rPr>
        <w:t>Yarce</w:t>
      </w:r>
      <w:proofErr w:type="spellEnd"/>
      <w:r w:rsidRPr="00285FAA">
        <w:rPr>
          <w:rFonts w:ascii="Verdana" w:hAnsi="Verdana"/>
          <w:i/>
          <w:sz w:val="16"/>
          <w:szCs w:val="16"/>
        </w:rPr>
        <w:t xml:space="preserve"> y otras Vs. Colombia. Excepción Preliminar, Fondo, Reparaciones y Costas.</w:t>
      </w:r>
      <w:r w:rsidRPr="00285FAA">
        <w:rPr>
          <w:rFonts w:ascii="Verdana" w:hAnsi="Verdana"/>
          <w:sz w:val="16"/>
          <w:szCs w:val="16"/>
        </w:rPr>
        <w:t xml:space="preserve"> S</w:t>
      </w:r>
      <w:r>
        <w:rPr>
          <w:rFonts w:ascii="Verdana" w:hAnsi="Verdana"/>
          <w:sz w:val="16"/>
          <w:szCs w:val="16"/>
        </w:rPr>
        <w:t xml:space="preserve">entencia de 22 de noviembre de </w:t>
      </w:r>
      <w:r w:rsidRPr="00285FAA">
        <w:rPr>
          <w:rFonts w:ascii="Verdana" w:hAnsi="Verdana"/>
          <w:sz w:val="16"/>
          <w:szCs w:val="16"/>
        </w:rPr>
        <w:t xml:space="preserve">2016, Serie C </w:t>
      </w:r>
      <w:r w:rsidRPr="009A3DA1">
        <w:rPr>
          <w:rFonts w:ascii="Verdana" w:hAnsi="Verdana"/>
          <w:sz w:val="16"/>
          <w:szCs w:val="16"/>
        </w:rPr>
        <w:t xml:space="preserve">No. 325, </w:t>
      </w:r>
      <w:proofErr w:type="spellStart"/>
      <w:r w:rsidRPr="009A3DA1">
        <w:rPr>
          <w:rFonts w:ascii="Verdana" w:hAnsi="Verdana"/>
          <w:sz w:val="16"/>
          <w:szCs w:val="16"/>
        </w:rPr>
        <w:t>párrs</w:t>
      </w:r>
      <w:proofErr w:type="spellEnd"/>
      <w:r w:rsidRPr="009A3DA1">
        <w:rPr>
          <w:rFonts w:ascii="Verdana" w:hAnsi="Verdana"/>
          <w:sz w:val="16"/>
          <w:szCs w:val="16"/>
        </w:rPr>
        <w:t xml:space="preserve">. 107, </w:t>
      </w:r>
      <w:r>
        <w:rPr>
          <w:rFonts w:ascii="Verdana" w:hAnsi="Verdana"/>
          <w:sz w:val="16"/>
          <w:szCs w:val="16"/>
        </w:rPr>
        <w:t xml:space="preserve">109, </w:t>
      </w:r>
      <w:r w:rsidRPr="009A3DA1">
        <w:rPr>
          <w:rFonts w:ascii="Verdana" w:hAnsi="Verdana"/>
          <w:sz w:val="16"/>
          <w:szCs w:val="16"/>
        </w:rPr>
        <w:t>110, 22</w:t>
      </w:r>
      <w:r>
        <w:rPr>
          <w:rFonts w:ascii="Verdana" w:hAnsi="Verdana"/>
          <w:sz w:val="16"/>
          <w:szCs w:val="16"/>
        </w:rPr>
        <w:t>8</w:t>
      </w:r>
      <w:r w:rsidRPr="009A3DA1">
        <w:rPr>
          <w:rFonts w:ascii="Verdana" w:hAnsi="Verdana"/>
          <w:sz w:val="16"/>
          <w:szCs w:val="16"/>
        </w:rPr>
        <w:t>, 2</w:t>
      </w:r>
      <w:r>
        <w:rPr>
          <w:rFonts w:ascii="Verdana" w:hAnsi="Verdana"/>
          <w:sz w:val="16"/>
          <w:szCs w:val="16"/>
        </w:rPr>
        <w:t>29</w:t>
      </w:r>
      <w:r w:rsidRPr="009A3DA1">
        <w:rPr>
          <w:rFonts w:ascii="Verdana" w:hAnsi="Verdana"/>
          <w:sz w:val="16"/>
          <w:szCs w:val="16"/>
        </w:rPr>
        <w:t xml:space="preserve"> y 23</w:t>
      </w:r>
      <w:r>
        <w:rPr>
          <w:rFonts w:ascii="Verdana" w:hAnsi="Verdana"/>
          <w:sz w:val="16"/>
          <w:szCs w:val="16"/>
        </w:rPr>
        <w:t>2</w:t>
      </w:r>
      <w:r w:rsidRPr="009A3DA1">
        <w:rPr>
          <w:rFonts w:ascii="Verdana" w:hAnsi="Verdana"/>
          <w:sz w:val="16"/>
          <w:szCs w:val="16"/>
        </w:rPr>
        <w:t>.</w:t>
      </w:r>
      <w:r w:rsidRPr="002F649F">
        <w:rPr>
          <w:rFonts w:ascii="Verdana" w:hAnsi="Verdana"/>
          <w:sz w:val="16"/>
          <w:szCs w:val="16"/>
        </w:rPr>
        <w:t xml:space="preserve"> </w:t>
      </w:r>
    </w:p>
  </w:footnote>
  <w:footnote w:id="149">
    <w:p w14:paraId="16335D83" w14:textId="77777777" w:rsidR="0046241E" w:rsidRDefault="0046241E" w:rsidP="002F649F">
      <w:pPr>
        <w:pStyle w:val="NormalWeb"/>
        <w:spacing w:before="0" w:beforeAutospacing="0" w:after="0" w:afterAutospacing="0"/>
        <w:jc w:val="both"/>
        <w:rPr>
          <w:rFonts w:ascii="Verdana" w:hAnsi="Verdana"/>
          <w:sz w:val="16"/>
          <w:szCs w:val="16"/>
          <w:lang w:val="es-ES_tradnl"/>
        </w:rPr>
      </w:pPr>
    </w:p>
    <w:p w14:paraId="381FF37F" w14:textId="41CA0725" w:rsidR="0046241E" w:rsidRDefault="0046241E" w:rsidP="002F649F">
      <w:pPr>
        <w:pStyle w:val="NormalWeb"/>
        <w:spacing w:before="0" w:beforeAutospacing="0" w:after="0" w:afterAutospacing="0"/>
        <w:jc w:val="both"/>
        <w:rPr>
          <w:rFonts w:ascii="Verdana" w:hAnsi="Verdana"/>
          <w:sz w:val="16"/>
          <w:szCs w:val="16"/>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r>
      <w:r w:rsidRPr="002F649F">
        <w:rPr>
          <w:rFonts w:ascii="Verdana" w:hAnsi="Verdana" w:cs="Times"/>
          <w:sz w:val="16"/>
          <w:szCs w:val="16"/>
        </w:rPr>
        <w:t xml:space="preserve"> </w:t>
      </w:r>
      <w:r w:rsidRPr="002F649F">
        <w:rPr>
          <w:rFonts w:ascii="Verdana" w:hAnsi="Verdana"/>
          <w:i/>
          <w:sz w:val="16"/>
          <w:szCs w:val="16"/>
        </w:rPr>
        <w:t xml:space="preserve">Cfr. </w:t>
      </w:r>
      <w:r w:rsidRPr="002F649F">
        <w:rPr>
          <w:rFonts w:ascii="Verdana" w:hAnsi="Verdana"/>
          <w:sz w:val="16"/>
          <w:szCs w:val="16"/>
        </w:rPr>
        <w:t xml:space="preserve">Corte Constitucional de Colombia, Sentencia T-268 de 2003, Sentencia de 27 de marzo de 2003,  disponible en: </w:t>
      </w:r>
      <w:hyperlink r:id="rId5" w:history="1">
        <w:r w:rsidRPr="00C066E4">
          <w:rPr>
            <w:rStyle w:val="Hyperlink"/>
            <w:rFonts w:ascii="Verdana" w:hAnsi="Verdana"/>
            <w:color w:val="auto"/>
            <w:sz w:val="16"/>
            <w:szCs w:val="16"/>
            <w:u w:val="none"/>
          </w:rPr>
          <w:t>http://www.corteconstitucional.gov.co/relatoria/2003/t-268-03.htm</w:t>
        </w:r>
      </w:hyperlink>
      <w:r w:rsidRPr="00C066E4">
        <w:rPr>
          <w:rFonts w:ascii="Verdana" w:hAnsi="Verdana" w:cs="Times"/>
          <w:sz w:val="16"/>
          <w:szCs w:val="16"/>
        </w:rPr>
        <w:t xml:space="preserve">. En similar sentido: </w:t>
      </w:r>
      <w:r w:rsidRPr="00C066E4">
        <w:rPr>
          <w:rFonts w:ascii="Verdana" w:hAnsi="Verdana"/>
          <w:sz w:val="16"/>
          <w:szCs w:val="16"/>
        </w:rPr>
        <w:t xml:space="preserve">Corte constitucional T-025/04, de 22 de enero de 2004. Disponible en: </w:t>
      </w:r>
      <w:hyperlink r:id="rId6" w:history="1">
        <w:r w:rsidRPr="00C066E4">
          <w:rPr>
            <w:rStyle w:val="Hyperlink"/>
            <w:rFonts w:ascii="Verdana" w:hAnsi="Verdana"/>
            <w:color w:val="auto"/>
            <w:sz w:val="16"/>
            <w:szCs w:val="16"/>
            <w:u w:val="none"/>
          </w:rPr>
          <w:t>http://www.corteconstitucional.gov.co/relatoria/2004/t-025-04.htm</w:t>
        </w:r>
      </w:hyperlink>
      <w:r w:rsidRPr="00C066E4">
        <w:rPr>
          <w:rStyle w:val="Hyperlink"/>
          <w:rFonts w:ascii="Verdana" w:hAnsi="Verdana"/>
          <w:color w:val="auto"/>
          <w:sz w:val="16"/>
          <w:szCs w:val="16"/>
          <w:u w:val="none"/>
        </w:rPr>
        <w:t xml:space="preserve">. </w:t>
      </w:r>
      <w:r w:rsidRPr="00C066E4">
        <w:rPr>
          <w:rFonts w:ascii="Verdana" w:hAnsi="Verdana"/>
          <w:sz w:val="16"/>
          <w:szCs w:val="16"/>
        </w:rPr>
        <w:t xml:space="preserve"> </w:t>
      </w:r>
    </w:p>
    <w:p w14:paraId="5A82A7C7" w14:textId="77777777" w:rsidR="0046241E" w:rsidRPr="002F649F" w:rsidRDefault="0046241E" w:rsidP="002F649F">
      <w:pPr>
        <w:pStyle w:val="NormalWeb"/>
        <w:spacing w:before="0" w:beforeAutospacing="0" w:after="0" w:afterAutospacing="0"/>
        <w:jc w:val="both"/>
        <w:rPr>
          <w:rFonts w:ascii="Verdana" w:hAnsi="Verdana"/>
          <w:sz w:val="16"/>
          <w:szCs w:val="16"/>
        </w:rPr>
      </w:pPr>
    </w:p>
  </w:footnote>
  <w:footnote w:id="150">
    <w:p w14:paraId="67A3DA08" w14:textId="58E0D7D6" w:rsidR="0046241E" w:rsidRPr="002F649F" w:rsidRDefault="0046241E" w:rsidP="002F649F">
      <w:pPr>
        <w:pStyle w:val="FootnoteText"/>
        <w:jc w:val="both"/>
        <w:rPr>
          <w:rFonts w:ascii="Verdana" w:hAnsi="Verdana"/>
          <w:i/>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85FAA">
        <w:rPr>
          <w:rFonts w:ascii="Verdana" w:hAnsi="Verdana"/>
          <w:i/>
          <w:sz w:val="16"/>
          <w:szCs w:val="16"/>
        </w:rPr>
        <w:t>Cfr.</w:t>
      </w:r>
      <w:r w:rsidRPr="00285FAA">
        <w:rPr>
          <w:rFonts w:ascii="Verdana" w:hAnsi="Verdana"/>
          <w:sz w:val="16"/>
          <w:szCs w:val="16"/>
        </w:rPr>
        <w:t xml:space="preserve"> Corte IDH. </w:t>
      </w:r>
      <w:r w:rsidRPr="00285FAA">
        <w:rPr>
          <w:rFonts w:ascii="Verdana" w:hAnsi="Verdana"/>
          <w:i/>
          <w:sz w:val="16"/>
          <w:szCs w:val="16"/>
        </w:rPr>
        <w:t xml:space="preserve">Caso </w:t>
      </w:r>
      <w:proofErr w:type="spellStart"/>
      <w:r w:rsidRPr="00285FAA">
        <w:rPr>
          <w:rFonts w:ascii="Verdana" w:hAnsi="Verdana"/>
          <w:i/>
          <w:sz w:val="16"/>
          <w:szCs w:val="16"/>
        </w:rPr>
        <w:t>Yarce</w:t>
      </w:r>
      <w:proofErr w:type="spellEnd"/>
      <w:r w:rsidRPr="00285FAA">
        <w:rPr>
          <w:rFonts w:ascii="Verdana" w:hAnsi="Verdana"/>
          <w:i/>
          <w:sz w:val="16"/>
          <w:szCs w:val="16"/>
        </w:rPr>
        <w:t xml:space="preserve"> y otras Vs. </w:t>
      </w:r>
      <w:r w:rsidRPr="009A3DA1">
        <w:rPr>
          <w:rFonts w:ascii="Verdana" w:hAnsi="Verdana"/>
          <w:i/>
          <w:sz w:val="16"/>
          <w:szCs w:val="16"/>
        </w:rPr>
        <w:t>Colombia. Excepción Preliminar, Fondo, Reparaciones y Costas.</w:t>
      </w:r>
      <w:r w:rsidRPr="009A3DA1">
        <w:rPr>
          <w:rFonts w:ascii="Verdana" w:hAnsi="Verdana"/>
          <w:sz w:val="16"/>
          <w:szCs w:val="16"/>
        </w:rPr>
        <w:t xml:space="preserve"> Sentencia de 22 de noviembre de</w:t>
      </w:r>
      <w:r w:rsidRPr="008757AC">
        <w:rPr>
          <w:rFonts w:ascii="Verdana" w:hAnsi="Verdana"/>
          <w:sz w:val="16"/>
          <w:szCs w:val="16"/>
        </w:rPr>
        <w:t xml:space="preserve"> 2016, Serie C </w:t>
      </w:r>
      <w:r w:rsidRPr="00DB01B1">
        <w:rPr>
          <w:rFonts w:ascii="Verdana" w:hAnsi="Verdana"/>
          <w:sz w:val="16"/>
          <w:szCs w:val="16"/>
        </w:rPr>
        <w:t>No. 325</w:t>
      </w:r>
      <w:r w:rsidRPr="009A3DA1">
        <w:rPr>
          <w:rFonts w:ascii="Verdana" w:hAnsi="Verdana"/>
          <w:sz w:val="16"/>
          <w:szCs w:val="16"/>
        </w:rPr>
        <w:t xml:space="preserve">, </w:t>
      </w:r>
      <w:proofErr w:type="spellStart"/>
      <w:r w:rsidRPr="009A3DA1">
        <w:rPr>
          <w:rFonts w:ascii="Verdana" w:hAnsi="Verdana"/>
          <w:sz w:val="16"/>
          <w:szCs w:val="16"/>
        </w:rPr>
        <w:t>párrs</w:t>
      </w:r>
      <w:proofErr w:type="spellEnd"/>
      <w:r w:rsidRPr="009A3DA1">
        <w:rPr>
          <w:rFonts w:ascii="Verdana" w:hAnsi="Verdana"/>
          <w:sz w:val="16"/>
          <w:szCs w:val="16"/>
        </w:rPr>
        <w:t>. 25</w:t>
      </w:r>
      <w:r>
        <w:rPr>
          <w:rFonts w:ascii="Verdana" w:hAnsi="Verdana"/>
          <w:sz w:val="16"/>
          <w:szCs w:val="16"/>
        </w:rPr>
        <w:t>6</w:t>
      </w:r>
      <w:r w:rsidRPr="009A3DA1">
        <w:rPr>
          <w:rFonts w:ascii="Verdana" w:hAnsi="Verdana"/>
          <w:sz w:val="16"/>
          <w:szCs w:val="16"/>
        </w:rPr>
        <w:t xml:space="preserve">, </w:t>
      </w:r>
      <w:proofErr w:type="gramStart"/>
      <w:r w:rsidRPr="009A3DA1">
        <w:rPr>
          <w:rFonts w:ascii="Verdana" w:hAnsi="Verdana"/>
          <w:sz w:val="16"/>
          <w:szCs w:val="16"/>
        </w:rPr>
        <w:t>25</w:t>
      </w:r>
      <w:r>
        <w:rPr>
          <w:rFonts w:ascii="Verdana" w:hAnsi="Verdana"/>
          <w:sz w:val="16"/>
          <w:szCs w:val="16"/>
        </w:rPr>
        <w:t>8</w:t>
      </w:r>
      <w:r w:rsidRPr="009A3DA1">
        <w:rPr>
          <w:rFonts w:ascii="Verdana" w:hAnsi="Verdana"/>
          <w:sz w:val="16"/>
          <w:szCs w:val="16"/>
        </w:rPr>
        <w:t xml:space="preserve"> ,</w:t>
      </w:r>
      <w:proofErr w:type="gramEnd"/>
      <w:r w:rsidRPr="009A3DA1">
        <w:rPr>
          <w:rFonts w:ascii="Verdana" w:hAnsi="Verdana"/>
          <w:sz w:val="16"/>
          <w:szCs w:val="16"/>
        </w:rPr>
        <w:t xml:space="preserve"> 2</w:t>
      </w:r>
      <w:r>
        <w:rPr>
          <w:rFonts w:ascii="Verdana" w:hAnsi="Verdana"/>
          <w:sz w:val="16"/>
          <w:szCs w:val="16"/>
        </w:rPr>
        <w:t>59</w:t>
      </w:r>
      <w:r w:rsidRPr="009A3DA1">
        <w:rPr>
          <w:rFonts w:ascii="Verdana" w:hAnsi="Verdana"/>
          <w:sz w:val="16"/>
          <w:szCs w:val="16"/>
        </w:rPr>
        <w:t xml:space="preserve"> y 26</w:t>
      </w:r>
      <w:r>
        <w:rPr>
          <w:rFonts w:ascii="Verdana" w:hAnsi="Verdana"/>
          <w:sz w:val="16"/>
          <w:szCs w:val="16"/>
        </w:rPr>
        <w:t>2</w:t>
      </w:r>
      <w:r w:rsidRPr="009A3DA1">
        <w:rPr>
          <w:rFonts w:ascii="Verdana" w:hAnsi="Verdana"/>
          <w:sz w:val="16"/>
          <w:szCs w:val="16"/>
        </w:rPr>
        <w:t>.</w:t>
      </w:r>
      <w:r w:rsidRPr="002F649F">
        <w:rPr>
          <w:rFonts w:ascii="Verdana" w:hAnsi="Verdana"/>
          <w:sz w:val="16"/>
          <w:szCs w:val="16"/>
        </w:rPr>
        <w:t xml:space="preserve"> </w:t>
      </w:r>
    </w:p>
  </w:footnote>
  <w:footnote w:id="151">
    <w:p w14:paraId="4B97234F" w14:textId="77777777" w:rsidR="0046241E" w:rsidRDefault="0046241E" w:rsidP="002F649F">
      <w:pPr>
        <w:pStyle w:val="FootnoteText"/>
        <w:jc w:val="both"/>
        <w:rPr>
          <w:rFonts w:ascii="Verdana" w:hAnsi="Verdana"/>
          <w:sz w:val="16"/>
          <w:szCs w:val="16"/>
          <w:lang w:val="es-ES_tradnl"/>
        </w:rPr>
      </w:pPr>
    </w:p>
    <w:p w14:paraId="13F04F28" w14:textId="301B4B1A" w:rsidR="0046241E" w:rsidRPr="002F649F" w:rsidRDefault="0046241E" w:rsidP="002F649F">
      <w:pPr>
        <w:pStyle w:val="FootnoteText"/>
        <w:jc w:val="both"/>
        <w:rPr>
          <w:rFonts w:ascii="Verdana" w:hAnsi="Verdana"/>
          <w:b/>
          <w:bCs/>
          <w:sz w:val="16"/>
          <w:szCs w:val="16"/>
          <w:lang w:val="es-ES_tradnl"/>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r>
      <w:r w:rsidRPr="002F649F">
        <w:rPr>
          <w:rStyle w:val="Strong"/>
          <w:rFonts w:ascii="Verdana" w:hAnsi="Verdana"/>
          <w:b w:val="0"/>
          <w:i/>
          <w:sz w:val="16"/>
          <w:szCs w:val="16"/>
          <w:lang w:val="es-ES_tradnl"/>
        </w:rPr>
        <w:t>Cfr.</w:t>
      </w:r>
      <w:r w:rsidRPr="002F649F">
        <w:rPr>
          <w:rStyle w:val="Strong"/>
          <w:rFonts w:ascii="Verdana" w:hAnsi="Verdana"/>
          <w:b w:val="0"/>
          <w:sz w:val="16"/>
          <w:szCs w:val="16"/>
          <w:lang w:val="es-ES_tradnl"/>
        </w:rPr>
        <w:t xml:space="preserve"> Corte IDH</w:t>
      </w:r>
      <w:r w:rsidRPr="00F479F9">
        <w:rPr>
          <w:rStyle w:val="Strong"/>
          <w:rFonts w:ascii="Verdana" w:hAnsi="Verdana"/>
          <w:b w:val="0"/>
          <w:sz w:val="16"/>
          <w:szCs w:val="16"/>
          <w:lang w:val="es-ES_tradnl"/>
        </w:rPr>
        <w:t>.</w:t>
      </w:r>
      <w:r w:rsidRPr="002F649F">
        <w:rPr>
          <w:rStyle w:val="Strong"/>
          <w:rFonts w:ascii="Verdana" w:hAnsi="Verdana"/>
          <w:sz w:val="16"/>
          <w:szCs w:val="16"/>
          <w:lang w:val="es-ES_tradnl"/>
        </w:rPr>
        <w:t xml:space="preserve"> </w:t>
      </w:r>
      <w:r w:rsidRPr="002F649F">
        <w:rPr>
          <w:rStyle w:val="Strong"/>
          <w:rFonts w:ascii="Verdana" w:hAnsi="Verdana"/>
          <w:b w:val="0"/>
          <w:i/>
          <w:sz w:val="16"/>
          <w:szCs w:val="16"/>
          <w:lang w:val="es-ES_tradnl"/>
        </w:rPr>
        <w:t>C</w:t>
      </w:r>
      <w:r w:rsidRPr="002F649F">
        <w:rPr>
          <w:rFonts w:ascii="Verdana" w:hAnsi="Verdana" w:cs="Verdana"/>
          <w:bCs/>
          <w:i/>
          <w:sz w:val="16"/>
          <w:szCs w:val="16"/>
        </w:rPr>
        <w:t xml:space="preserve">aso </w:t>
      </w:r>
      <w:proofErr w:type="spellStart"/>
      <w:r w:rsidRPr="002F649F">
        <w:rPr>
          <w:rFonts w:ascii="Verdana" w:hAnsi="Verdana" w:cs="Verdana"/>
          <w:bCs/>
          <w:i/>
          <w:sz w:val="16"/>
          <w:szCs w:val="16"/>
        </w:rPr>
        <w:t>Furlan</w:t>
      </w:r>
      <w:proofErr w:type="spellEnd"/>
      <w:r w:rsidRPr="002F649F">
        <w:rPr>
          <w:rFonts w:ascii="Verdana" w:hAnsi="Verdana" w:cs="Verdana"/>
          <w:bCs/>
          <w:i/>
          <w:sz w:val="16"/>
          <w:szCs w:val="16"/>
        </w:rPr>
        <w:t xml:space="preserve"> y familiares Vs. Argentina. Excepciones Preliminares, Fondo, Reparaciones y Costas. </w:t>
      </w:r>
      <w:r w:rsidRPr="002F649F">
        <w:rPr>
          <w:rFonts w:ascii="Verdana" w:hAnsi="Verdana" w:cs="Verdana"/>
          <w:bCs/>
          <w:sz w:val="16"/>
          <w:szCs w:val="16"/>
        </w:rPr>
        <w:t>Sentencia de 31 de agosto de 2012. Serie C No. 246</w:t>
      </w:r>
      <w:r w:rsidRPr="002F649F">
        <w:rPr>
          <w:rFonts w:ascii="Verdana" w:hAnsi="Verdana" w:cs="Verdana"/>
          <w:b/>
          <w:bCs/>
          <w:sz w:val="16"/>
          <w:szCs w:val="16"/>
        </w:rPr>
        <w:t xml:space="preserve">, </w:t>
      </w:r>
      <w:r w:rsidRPr="002F649F">
        <w:rPr>
          <w:rStyle w:val="Strong"/>
          <w:rFonts w:ascii="Verdana" w:hAnsi="Verdana"/>
          <w:b w:val="0"/>
          <w:sz w:val="16"/>
          <w:szCs w:val="16"/>
          <w:lang w:val="es-ES_tradnl"/>
        </w:rPr>
        <w:t>párr. 220 y</w:t>
      </w:r>
      <w:r w:rsidRPr="002F649F">
        <w:rPr>
          <w:rStyle w:val="Strong"/>
          <w:rFonts w:ascii="Verdana" w:hAnsi="Verdana"/>
          <w:sz w:val="16"/>
          <w:szCs w:val="16"/>
          <w:lang w:val="es-ES_tradnl"/>
        </w:rPr>
        <w:t xml:space="preserve"> </w:t>
      </w:r>
      <w:r w:rsidRPr="002F649F">
        <w:rPr>
          <w:rFonts w:ascii="Verdana" w:hAnsi="Verdana"/>
          <w:i/>
          <w:sz w:val="16"/>
          <w:szCs w:val="16"/>
          <w:lang w:val="es-ES_tradnl"/>
        </w:rPr>
        <w:t xml:space="preserve">Caso </w:t>
      </w:r>
      <w:proofErr w:type="spellStart"/>
      <w:r w:rsidRPr="002F649F">
        <w:rPr>
          <w:rFonts w:ascii="Verdana" w:hAnsi="Verdana"/>
          <w:i/>
          <w:sz w:val="16"/>
          <w:szCs w:val="16"/>
          <w:lang w:val="es-ES_tradnl"/>
        </w:rPr>
        <w:t>Abrill</w:t>
      </w:r>
      <w:proofErr w:type="spellEnd"/>
      <w:r w:rsidRPr="002F649F">
        <w:rPr>
          <w:rFonts w:ascii="Verdana" w:hAnsi="Verdana"/>
          <w:i/>
          <w:sz w:val="16"/>
          <w:szCs w:val="16"/>
          <w:lang w:val="es-ES_tradnl"/>
        </w:rPr>
        <w:t xml:space="preserve"> </w:t>
      </w:r>
      <w:proofErr w:type="spellStart"/>
      <w:r w:rsidRPr="002F649F">
        <w:rPr>
          <w:rFonts w:ascii="Verdana" w:hAnsi="Verdana"/>
          <w:i/>
          <w:sz w:val="16"/>
          <w:szCs w:val="16"/>
          <w:lang w:val="es-ES_tradnl"/>
        </w:rPr>
        <w:t>Alosilla</w:t>
      </w:r>
      <w:proofErr w:type="spellEnd"/>
      <w:r w:rsidRPr="002F649F">
        <w:rPr>
          <w:rFonts w:ascii="Verdana" w:hAnsi="Verdana"/>
          <w:i/>
          <w:sz w:val="16"/>
          <w:szCs w:val="16"/>
          <w:lang w:val="es-ES_tradnl"/>
        </w:rPr>
        <w:t xml:space="preserve"> y otros Vs. Perú. Fondo, Reparaciones y Costas.</w:t>
      </w:r>
      <w:r w:rsidRPr="002F649F">
        <w:rPr>
          <w:rFonts w:ascii="Verdana" w:hAnsi="Verdana"/>
          <w:sz w:val="16"/>
          <w:szCs w:val="16"/>
          <w:lang w:val="es-ES_tradnl"/>
        </w:rPr>
        <w:t xml:space="preserve"> Sentencia de 4 de Marzo de 2011 Serie C No. 223, párr. 82</w:t>
      </w:r>
    </w:p>
  </w:footnote>
  <w:footnote w:id="152">
    <w:p w14:paraId="00327ACD" w14:textId="77777777" w:rsidR="0046241E" w:rsidRDefault="0046241E" w:rsidP="002F649F">
      <w:pPr>
        <w:pStyle w:val="FootnoteText"/>
        <w:ind w:right="49"/>
        <w:jc w:val="both"/>
        <w:rPr>
          <w:rFonts w:ascii="Verdana" w:hAnsi="Verdana"/>
          <w:sz w:val="16"/>
          <w:szCs w:val="16"/>
          <w:lang w:val="es-ES_tradnl"/>
        </w:rPr>
      </w:pPr>
    </w:p>
    <w:p w14:paraId="05197ABD" w14:textId="54B16C82" w:rsidR="0046241E" w:rsidRPr="002F649F" w:rsidRDefault="0046241E" w:rsidP="002F649F">
      <w:pPr>
        <w:pStyle w:val="FootnoteText"/>
        <w:ind w:right="49"/>
        <w:jc w:val="both"/>
        <w:rPr>
          <w:rFonts w:ascii="Verdana" w:hAnsi="Verdana" w:cs="Verdana"/>
          <w:bCs/>
          <w:i/>
          <w:sz w:val="16"/>
          <w:szCs w:val="16"/>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r>
      <w:r w:rsidRPr="002F649F">
        <w:rPr>
          <w:rStyle w:val="Strong"/>
          <w:rFonts w:ascii="Verdana" w:hAnsi="Verdana"/>
          <w:b w:val="0"/>
          <w:i/>
          <w:sz w:val="16"/>
          <w:szCs w:val="16"/>
          <w:lang w:val="es-ES_tradnl"/>
        </w:rPr>
        <w:t>Cfr.</w:t>
      </w:r>
      <w:r w:rsidRPr="002F649F">
        <w:rPr>
          <w:rStyle w:val="Strong"/>
          <w:rFonts w:ascii="Verdana" w:hAnsi="Verdana"/>
          <w:b w:val="0"/>
          <w:sz w:val="16"/>
          <w:szCs w:val="16"/>
          <w:lang w:val="es-ES_tradnl"/>
        </w:rPr>
        <w:t xml:space="preserve"> Corte IDH. </w:t>
      </w:r>
      <w:r w:rsidRPr="002F649F">
        <w:rPr>
          <w:rStyle w:val="Strong"/>
          <w:rFonts w:ascii="Verdana" w:hAnsi="Verdana"/>
          <w:b w:val="0"/>
          <w:i/>
          <w:sz w:val="16"/>
          <w:szCs w:val="16"/>
          <w:lang w:val="es-ES_tradnl"/>
        </w:rPr>
        <w:t xml:space="preserve">Caso </w:t>
      </w:r>
      <w:proofErr w:type="spellStart"/>
      <w:r w:rsidRPr="002F649F">
        <w:rPr>
          <w:rStyle w:val="Strong"/>
          <w:rFonts w:ascii="Verdana" w:hAnsi="Verdana"/>
          <w:b w:val="0"/>
          <w:i/>
          <w:sz w:val="16"/>
          <w:szCs w:val="16"/>
          <w:lang w:val="es-ES_tradnl"/>
        </w:rPr>
        <w:t>Ivcher</w:t>
      </w:r>
      <w:proofErr w:type="spellEnd"/>
      <w:r w:rsidRPr="002F649F">
        <w:rPr>
          <w:rStyle w:val="Strong"/>
          <w:rFonts w:ascii="Verdana" w:hAnsi="Verdana"/>
          <w:b w:val="0"/>
          <w:i/>
          <w:sz w:val="16"/>
          <w:szCs w:val="16"/>
          <w:lang w:val="es-ES_tradnl"/>
        </w:rPr>
        <w:t xml:space="preserve"> </w:t>
      </w:r>
      <w:proofErr w:type="spellStart"/>
      <w:r w:rsidRPr="002F649F">
        <w:rPr>
          <w:rStyle w:val="Strong"/>
          <w:rFonts w:ascii="Verdana" w:hAnsi="Verdana"/>
          <w:b w:val="0"/>
          <w:i/>
          <w:sz w:val="16"/>
          <w:szCs w:val="16"/>
          <w:lang w:val="es-ES_tradnl"/>
        </w:rPr>
        <w:t>Bronstein</w:t>
      </w:r>
      <w:proofErr w:type="spellEnd"/>
      <w:r w:rsidRPr="002F649F">
        <w:rPr>
          <w:rStyle w:val="Strong"/>
          <w:rFonts w:ascii="Verdana" w:hAnsi="Verdana"/>
          <w:b w:val="0"/>
          <w:i/>
          <w:sz w:val="16"/>
          <w:szCs w:val="16"/>
          <w:lang w:val="es-ES_tradnl"/>
        </w:rPr>
        <w:t xml:space="preserve"> vs. Perú</w:t>
      </w:r>
      <w:r w:rsidRPr="002F649F">
        <w:rPr>
          <w:rStyle w:val="Strong"/>
          <w:rFonts w:ascii="Verdana" w:hAnsi="Verdana"/>
          <w:b w:val="0"/>
          <w:sz w:val="16"/>
          <w:szCs w:val="16"/>
          <w:lang w:val="es-ES_tradnl"/>
        </w:rPr>
        <w:t>. Fondo, Reparaciones y Costas. Sentencia de 6 de febrero de 2001. Serie C No. 74 párr. 122, y</w:t>
      </w:r>
      <w:r w:rsidRPr="002F649F">
        <w:rPr>
          <w:rFonts w:ascii="Verdana" w:hAnsi="Verdana"/>
          <w:b/>
          <w:sz w:val="16"/>
          <w:szCs w:val="16"/>
          <w:lang w:val="es-ES_tradnl"/>
        </w:rPr>
        <w:t xml:space="preserve"> </w:t>
      </w:r>
      <w:r w:rsidRPr="002F649F">
        <w:rPr>
          <w:rStyle w:val="Strong"/>
          <w:rFonts w:ascii="Verdana" w:hAnsi="Verdana"/>
          <w:b w:val="0"/>
          <w:i/>
          <w:sz w:val="16"/>
          <w:szCs w:val="16"/>
          <w:lang w:val="es-ES_tradnl"/>
        </w:rPr>
        <w:t>C</w:t>
      </w:r>
      <w:r w:rsidRPr="002F649F">
        <w:rPr>
          <w:rFonts w:ascii="Verdana" w:hAnsi="Verdana" w:cs="Verdana"/>
          <w:bCs/>
          <w:i/>
          <w:sz w:val="16"/>
          <w:szCs w:val="16"/>
        </w:rPr>
        <w:t xml:space="preserve">aso </w:t>
      </w:r>
      <w:proofErr w:type="spellStart"/>
      <w:r w:rsidRPr="002F649F">
        <w:rPr>
          <w:rFonts w:ascii="Verdana" w:hAnsi="Verdana" w:cs="Verdana"/>
          <w:bCs/>
          <w:i/>
          <w:sz w:val="16"/>
          <w:szCs w:val="16"/>
        </w:rPr>
        <w:t>Furlan</w:t>
      </w:r>
      <w:proofErr w:type="spellEnd"/>
      <w:r w:rsidRPr="002F649F">
        <w:rPr>
          <w:rFonts w:ascii="Verdana" w:hAnsi="Verdana" w:cs="Verdana"/>
          <w:bCs/>
          <w:i/>
          <w:sz w:val="16"/>
          <w:szCs w:val="16"/>
        </w:rPr>
        <w:t xml:space="preserve"> y familiares Vs. Argentina. Excepciones Preliminares, Fondo, Reparaciones y Costas. </w:t>
      </w:r>
      <w:r w:rsidRPr="002F649F">
        <w:rPr>
          <w:rFonts w:ascii="Verdana" w:hAnsi="Verdana" w:cs="Verdana"/>
          <w:bCs/>
          <w:sz w:val="16"/>
          <w:szCs w:val="16"/>
        </w:rPr>
        <w:t>Sentencia de 31 de agosto de 2012. Serie C No. 246</w:t>
      </w:r>
      <w:r w:rsidRPr="002F649F">
        <w:rPr>
          <w:rStyle w:val="Strong"/>
          <w:rFonts w:ascii="Verdana" w:hAnsi="Verdana"/>
          <w:b w:val="0"/>
          <w:sz w:val="16"/>
          <w:szCs w:val="16"/>
          <w:lang w:val="es-ES_tradnl"/>
        </w:rPr>
        <w:t>, párr. 220.</w:t>
      </w:r>
      <w:r w:rsidRPr="002F649F">
        <w:rPr>
          <w:rStyle w:val="Strong"/>
          <w:rFonts w:ascii="Verdana" w:hAnsi="Verdana"/>
          <w:b w:val="0"/>
          <w:i/>
          <w:sz w:val="16"/>
          <w:szCs w:val="16"/>
          <w:lang w:val="es-ES_tradnl"/>
        </w:rPr>
        <w:t xml:space="preserve"> </w:t>
      </w:r>
    </w:p>
  </w:footnote>
  <w:footnote w:id="153">
    <w:p w14:paraId="2B9DA992" w14:textId="77777777" w:rsidR="0046241E" w:rsidRDefault="0046241E" w:rsidP="002F649F">
      <w:pPr>
        <w:pStyle w:val="FootnoteText"/>
        <w:ind w:right="49"/>
        <w:jc w:val="both"/>
        <w:rPr>
          <w:rFonts w:ascii="Verdana" w:hAnsi="Verdana"/>
          <w:sz w:val="16"/>
          <w:szCs w:val="16"/>
          <w:lang w:val="es-ES_tradnl"/>
        </w:rPr>
      </w:pPr>
    </w:p>
    <w:p w14:paraId="3D8669E5" w14:textId="359C8886" w:rsidR="0046241E" w:rsidRPr="002F649F" w:rsidRDefault="0046241E" w:rsidP="002F649F">
      <w:pPr>
        <w:pStyle w:val="FootnoteText"/>
        <w:ind w:right="49"/>
        <w:jc w:val="both"/>
        <w:rPr>
          <w:rFonts w:ascii="Verdana" w:hAnsi="Verdana"/>
          <w:bCs/>
          <w:sz w:val="16"/>
          <w:szCs w:val="16"/>
          <w:lang w:val="es-ES_tradnl"/>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r>
      <w:r w:rsidRPr="002F649F">
        <w:rPr>
          <w:rFonts w:ascii="Verdana" w:hAnsi="Verdana"/>
          <w:i/>
          <w:sz w:val="16"/>
          <w:szCs w:val="16"/>
          <w:lang w:val="es-ES_tradnl"/>
        </w:rPr>
        <w:t xml:space="preserve">Cfr. </w:t>
      </w:r>
      <w:r w:rsidRPr="002F649F">
        <w:rPr>
          <w:rFonts w:ascii="Verdana" w:hAnsi="Verdana"/>
          <w:sz w:val="16"/>
          <w:szCs w:val="16"/>
          <w:lang w:val="es-ES_tradnl"/>
        </w:rPr>
        <w:t xml:space="preserve">Corte IDH. </w:t>
      </w:r>
      <w:r w:rsidRPr="002F649F">
        <w:rPr>
          <w:rFonts w:ascii="Verdana" w:hAnsi="Verdana"/>
          <w:i/>
          <w:sz w:val="16"/>
          <w:szCs w:val="16"/>
          <w:lang w:val="es-ES_tradnl"/>
        </w:rPr>
        <w:t>Caso Comunidad Campesina de Santa Bárbara Vs. Perú. Excepciones Preliminares, Fondo, Reparaciones y Costas.</w:t>
      </w:r>
      <w:r w:rsidRPr="002F649F">
        <w:rPr>
          <w:rFonts w:ascii="Verdana" w:hAnsi="Verdana"/>
          <w:sz w:val="16"/>
          <w:szCs w:val="16"/>
          <w:lang w:val="es-ES_tradnl"/>
        </w:rPr>
        <w:t xml:space="preserve"> Sentencia de 01 de septiembre de 2015. Serie C No. 299</w:t>
      </w:r>
      <w:r w:rsidRPr="002F649F" w:rsidDel="004F1B89">
        <w:rPr>
          <w:rFonts w:ascii="Verdana" w:hAnsi="Verdana"/>
          <w:sz w:val="16"/>
          <w:szCs w:val="16"/>
          <w:lang w:val="es-ES_tradnl"/>
        </w:rPr>
        <w:t xml:space="preserve"> </w:t>
      </w:r>
      <w:r w:rsidRPr="002F649F">
        <w:rPr>
          <w:rFonts w:ascii="Verdana" w:hAnsi="Verdana"/>
          <w:sz w:val="16"/>
          <w:szCs w:val="16"/>
          <w:lang w:val="es-ES_tradnl"/>
        </w:rPr>
        <w:t xml:space="preserve">y </w:t>
      </w:r>
      <w:r w:rsidRPr="002F649F">
        <w:rPr>
          <w:rStyle w:val="Strong"/>
          <w:rFonts w:ascii="Verdana" w:hAnsi="Verdana"/>
          <w:b w:val="0"/>
          <w:i/>
          <w:sz w:val="16"/>
          <w:szCs w:val="16"/>
          <w:lang w:val="es-ES_tradnl"/>
        </w:rPr>
        <w:t xml:space="preserve">Caso </w:t>
      </w:r>
      <w:proofErr w:type="spellStart"/>
      <w:r w:rsidRPr="002F649F">
        <w:rPr>
          <w:rStyle w:val="Strong"/>
          <w:rFonts w:ascii="Verdana" w:hAnsi="Verdana"/>
          <w:b w:val="0"/>
          <w:i/>
          <w:sz w:val="16"/>
          <w:szCs w:val="16"/>
          <w:lang w:val="es-ES_tradnl"/>
        </w:rPr>
        <w:t>Ivcher</w:t>
      </w:r>
      <w:proofErr w:type="spellEnd"/>
      <w:r w:rsidRPr="002F649F">
        <w:rPr>
          <w:rStyle w:val="Strong"/>
          <w:rFonts w:ascii="Verdana" w:hAnsi="Verdana"/>
          <w:b w:val="0"/>
          <w:i/>
          <w:sz w:val="16"/>
          <w:szCs w:val="16"/>
          <w:lang w:val="es-ES_tradnl"/>
        </w:rPr>
        <w:t xml:space="preserve"> </w:t>
      </w:r>
      <w:proofErr w:type="spellStart"/>
      <w:r w:rsidRPr="002F649F">
        <w:rPr>
          <w:rStyle w:val="Strong"/>
          <w:rFonts w:ascii="Verdana" w:hAnsi="Verdana"/>
          <w:b w:val="0"/>
          <w:i/>
          <w:sz w:val="16"/>
          <w:szCs w:val="16"/>
          <w:lang w:val="es-ES_tradnl"/>
        </w:rPr>
        <w:t>Bronstein</w:t>
      </w:r>
      <w:proofErr w:type="spellEnd"/>
      <w:r w:rsidRPr="002F649F">
        <w:rPr>
          <w:rStyle w:val="Strong"/>
          <w:rFonts w:ascii="Verdana" w:hAnsi="Verdana"/>
          <w:b w:val="0"/>
          <w:i/>
          <w:sz w:val="16"/>
          <w:szCs w:val="16"/>
          <w:lang w:val="es-ES_tradnl"/>
        </w:rPr>
        <w:t xml:space="preserve"> Vs. Perú</w:t>
      </w:r>
      <w:r w:rsidRPr="002F649F">
        <w:rPr>
          <w:rStyle w:val="Strong"/>
          <w:rFonts w:ascii="Verdana" w:hAnsi="Verdana"/>
          <w:b w:val="0"/>
          <w:sz w:val="16"/>
          <w:szCs w:val="16"/>
          <w:lang w:val="es-ES_tradnl"/>
        </w:rPr>
        <w:t xml:space="preserve">. </w:t>
      </w:r>
      <w:r w:rsidRPr="002F649F">
        <w:rPr>
          <w:rStyle w:val="Strong"/>
          <w:rFonts w:ascii="Verdana" w:hAnsi="Verdana"/>
          <w:b w:val="0"/>
          <w:i/>
          <w:sz w:val="16"/>
          <w:szCs w:val="16"/>
          <w:lang w:val="es-ES_tradnl"/>
        </w:rPr>
        <w:t>Fondo, Reparaciones y Costas.</w:t>
      </w:r>
      <w:r w:rsidRPr="002F649F">
        <w:rPr>
          <w:rStyle w:val="Strong"/>
          <w:rFonts w:ascii="Verdana" w:hAnsi="Verdana"/>
          <w:b w:val="0"/>
          <w:sz w:val="16"/>
          <w:szCs w:val="16"/>
          <w:lang w:val="es-ES_tradnl"/>
        </w:rPr>
        <w:t xml:space="preserve"> Sentencia de 6 de febrero de 2001. Serie C No. 74 párr. 122 </w:t>
      </w:r>
    </w:p>
  </w:footnote>
  <w:footnote w:id="154">
    <w:p w14:paraId="5A7F0820" w14:textId="77777777" w:rsidR="0046241E" w:rsidRDefault="0046241E" w:rsidP="002F649F">
      <w:pPr>
        <w:pStyle w:val="FootnoteText"/>
        <w:ind w:right="49"/>
        <w:jc w:val="both"/>
        <w:rPr>
          <w:rFonts w:ascii="Verdana" w:hAnsi="Verdana"/>
          <w:sz w:val="16"/>
          <w:szCs w:val="16"/>
          <w:lang w:val="es-ES_tradnl"/>
        </w:rPr>
      </w:pPr>
    </w:p>
    <w:p w14:paraId="7A4411AF" w14:textId="512E5997" w:rsidR="0046241E" w:rsidRDefault="0046241E" w:rsidP="002F649F">
      <w:pPr>
        <w:pStyle w:val="FootnoteText"/>
        <w:ind w:right="49"/>
        <w:jc w:val="both"/>
        <w:rPr>
          <w:rStyle w:val="Strong"/>
          <w:rFonts w:ascii="Verdana" w:hAnsi="Verdana"/>
          <w:sz w:val="16"/>
          <w:szCs w:val="16"/>
          <w:lang w:val="es-ES_tradnl"/>
        </w:rPr>
      </w:pPr>
      <w:r w:rsidRPr="002F649F">
        <w:rPr>
          <w:rStyle w:val="FootnoteReference"/>
          <w:rFonts w:ascii="Verdana" w:hAnsi="Verdana"/>
          <w:sz w:val="16"/>
          <w:szCs w:val="16"/>
          <w:lang w:val="es-ES_tradnl"/>
        </w:rPr>
        <w:footnoteRef/>
      </w:r>
      <w:r w:rsidRPr="002F649F">
        <w:rPr>
          <w:rFonts w:ascii="Verdana" w:hAnsi="Verdana"/>
          <w:sz w:val="16"/>
          <w:szCs w:val="16"/>
          <w:lang w:val="es-ES_tradnl"/>
        </w:rPr>
        <w:t xml:space="preserve"> </w:t>
      </w:r>
      <w:r w:rsidRPr="002F649F">
        <w:rPr>
          <w:rFonts w:ascii="Verdana" w:hAnsi="Verdana"/>
          <w:sz w:val="16"/>
          <w:szCs w:val="16"/>
          <w:lang w:val="es-ES_tradnl"/>
        </w:rPr>
        <w:tab/>
      </w:r>
      <w:r w:rsidRPr="002F649F">
        <w:rPr>
          <w:rStyle w:val="Strong"/>
          <w:rFonts w:ascii="Verdana" w:hAnsi="Verdana"/>
          <w:b w:val="0"/>
          <w:i/>
          <w:sz w:val="16"/>
          <w:szCs w:val="16"/>
          <w:lang w:val="es-ES_tradnl"/>
        </w:rPr>
        <w:t xml:space="preserve">Cfr. </w:t>
      </w:r>
      <w:r w:rsidRPr="002F649F">
        <w:rPr>
          <w:rStyle w:val="Strong"/>
          <w:rFonts w:ascii="Verdana" w:hAnsi="Verdana"/>
          <w:b w:val="0"/>
          <w:sz w:val="16"/>
          <w:szCs w:val="16"/>
          <w:lang w:val="es-ES_tradnl"/>
        </w:rPr>
        <w:t xml:space="preserve">Corte IDH. </w:t>
      </w:r>
      <w:r w:rsidRPr="002F649F">
        <w:rPr>
          <w:rStyle w:val="Strong"/>
          <w:rFonts w:ascii="Verdana" w:hAnsi="Verdana"/>
          <w:b w:val="0"/>
          <w:i/>
          <w:sz w:val="16"/>
          <w:szCs w:val="16"/>
          <w:lang w:val="es-ES_tradnl"/>
        </w:rPr>
        <w:t xml:space="preserve">Caso de la Comunidad </w:t>
      </w:r>
      <w:proofErr w:type="spellStart"/>
      <w:r w:rsidRPr="002F649F">
        <w:rPr>
          <w:rStyle w:val="Strong"/>
          <w:rFonts w:ascii="Verdana" w:hAnsi="Verdana"/>
          <w:b w:val="0"/>
          <w:i/>
          <w:sz w:val="16"/>
          <w:szCs w:val="16"/>
          <w:lang w:val="es-ES_tradnl"/>
        </w:rPr>
        <w:t>Mayagna</w:t>
      </w:r>
      <w:proofErr w:type="spellEnd"/>
      <w:r w:rsidRPr="002F649F">
        <w:rPr>
          <w:rStyle w:val="Strong"/>
          <w:rFonts w:ascii="Verdana" w:hAnsi="Verdana"/>
          <w:b w:val="0"/>
          <w:i/>
          <w:sz w:val="16"/>
          <w:szCs w:val="16"/>
          <w:lang w:val="es-ES_tradnl"/>
        </w:rPr>
        <w:t xml:space="preserve"> (Sumo) </w:t>
      </w:r>
      <w:proofErr w:type="spellStart"/>
      <w:r w:rsidRPr="002F649F">
        <w:rPr>
          <w:rStyle w:val="Strong"/>
          <w:rFonts w:ascii="Verdana" w:hAnsi="Verdana"/>
          <w:b w:val="0"/>
          <w:i/>
          <w:sz w:val="16"/>
          <w:szCs w:val="16"/>
          <w:lang w:val="es-ES_tradnl"/>
        </w:rPr>
        <w:t>Awas</w:t>
      </w:r>
      <w:proofErr w:type="spellEnd"/>
      <w:r w:rsidRPr="002F649F">
        <w:rPr>
          <w:rStyle w:val="Strong"/>
          <w:rFonts w:ascii="Verdana" w:hAnsi="Verdana"/>
          <w:b w:val="0"/>
          <w:i/>
          <w:sz w:val="16"/>
          <w:szCs w:val="16"/>
          <w:lang w:val="es-ES_tradnl"/>
        </w:rPr>
        <w:t xml:space="preserve"> </w:t>
      </w:r>
      <w:proofErr w:type="spellStart"/>
      <w:r w:rsidRPr="002F649F">
        <w:rPr>
          <w:rStyle w:val="Strong"/>
          <w:rFonts w:ascii="Verdana" w:hAnsi="Verdana"/>
          <w:b w:val="0"/>
          <w:i/>
          <w:sz w:val="16"/>
          <w:szCs w:val="16"/>
          <w:lang w:val="es-ES_tradnl"/>
        </w:rPr>
        <w:t>Tingni</w:t>
      </w:r>
      <w:proofErr w:type="spellEnd"/>
      <w:r w:rsidRPr="002F649F">
        <w:rPr>
          <w:rStyle w:val="Strong"/>
          <w:rFonts w:ascii="Verdana" w:hAnsi="Verdana"/>
          <w:b w:val="0"/>
          <w:i/>
          <w:sz w:val="16"/>
          <w:szCs w:val="16"/>
          <w:lang w:val="es-ES_tradnl"/>
        </w:rPr>
        <w:t xml:space="preserve"> Vs. Nicaragua. Fondo, Reparaciones y Costas. </w:t>
      </w:r>
      <w:r w:rsidRPr="002F649F">
        <w:rPr>
          <w:rStyle w:val="Strong"/>
          <w:rFonts w:ascii="Verdana" w:hAnsi="Verdana"/>
          <w:b w:val="0"/>
          <w:sz w:val="16"/>
          <w:szCs w:val="16"/>
          <w:lang w:val="es-ES_tradnl"/>
        </w:rPr>
        <w:t>Sentencia de 31 de agosto de 2001. Serie C No. 79</w:t>
      </w:r>
      <w:r w:rsidRPr="002F649F" w:rsidDel="00FB74D8">
        <w:rPr>
          <w:rStyle w:val="Strong"/>
          <w:rFonts w:ascii="Verdana" w:hAnsi="Verdana"/>
          <w:b w:val="0"/>
          <w:i/>
          <w:sz w:val="16"/>
          <w:szCs w:val="16"/>
          <w:lang w:val="es-ES_tradnl"/>
        </w:rPr>
        <w:t xml:space="preserve"> </w:t>
      </w:r>
      <w:r w:rsidRPr="002F649F">
        <w:rPr>
          <w:rStyle w:val="Strong"/>
          <w:rFonts w:ascii="Verdana" w:hAnsi="Verdana"/>
          <w:b w:val="0"/>
          <w:sz w:val="16"/>
          <w:szCs w:val="16"/>
          <w:lang w:val="es-ES_tradnl"/>
        </w:rPr>
        <w:t>párr. 143.</w:t>
      </w:r>
      <w:r w:rsidRPr="002F649F">
        <w:rPr>
          <w:rStyle w:val="Strong"/>
          <w:rFonts w:ascii="Verdana" w:hAnsi="Verdana"/>
          <w:sz w:val="16"/>
          <w:szCs w:val="16"/>
          <w:lang w:val="es-ES_tradnl"/>
        </w:rPr>
        <w:t xml:space="preserve"> </w:t>
      </w:r>
    </w:p>
    <w:p w14:paraId="125E05AD" w14:textId="77777777" w:rsidR="0046241E" w:rsidRPr="002F649F" w:rsidRDefault="0046241E" w:rsidP="002F649F">
      <w:pPr>
        <w:pStyle w:val="FootnoteText"/>
        <w:ind w:right="49"/>
        <w:jc w:val="both"/>
        <w:rPr>
          <w:rFonts w:ascii="Verdana" w:hAnsi="Verdana"/>
          <w:b/>
          <w:bCs/>
          <w:sz w:val="16"/>
          <w:szCs w:val="16"/>
          <w:lang w:val="es-ES_tradnl"/>
        </w:rPr>
      </w:pPr>
    </w:p>
  </w:footnote>
  <w:footnote w:id="155">
    <w:p w14:paraId="65DF907B" w14:textId="60C3986D" w:rsidR="0046241E" w:rsidRDefault="0046241E" w:rsidP="002F649F">
      <w:pPr>
        <w:pStyle w:val="FootnoteText"/>
        <w:jc w:val="both"/>
        <w:rPr>
          <w:rFonts w:ascii="Verdana" w:hAnsi="Verdana" w:cs="Times"/>
          <w:b/>
          <w:sz w:val="16"/>
          <w:szCs w:val="16"/>
        </w:rPr>
      </w:pPr>
      <w:r w:rsidRPr="002F649F">
        <w:rPr>
          <w:rStyle w:val="FootnoteReference"/>
          <w:rFonts w:ascii="Verdana" w:hAnsi="Verdana"/>
          <w:sz w:val="16"/>
          <w:szCs w:val="16"/>
        </w:rPr>
        <w:footnoteRef/>
      </w:r>
      <w:r w:rsidRPr="002F649F">
        <w:rPr>
          <w:rFonts w:ascii="Verdana" w:hAnsi="Verdana"/>
          <w:sz w:val="16"/>
          <w:szCs w:val="16"/>
        </w:rPr>
        <w:tab/>
        <w:t xml:space="preserve">Véase: </w:t>
      </w:r>
      <w:r w:rsidRPr="002F649F">
        <w:rPr>
          <w:rFonts w:ascii="Verdana" w:hAnsi="Verdana"/>
          <w:i/>
          <w:sz w:val="16"/>
          <w:szCs w:val="16"/>
        </w:rPr>
        <w:t>Cfr.</w:t>
      </w:r>
      <w:r w:rsidRPr="002F649F">
        <w:rPr>
          <w:rFonts w:ascii="Verdana" w:hAnsi="Verdana"/>
          <w:sz w:val="16"/>
          <w:szCs w:val="16"/>
        </w:rPr>
        <w:t xml:space="preserve"> ONU, </w:t>
      </w:r>
      <w:r w:rsidRPr="002F649F">
        <w:rPr>
          <w:rFonts w:ascii="Verdana" w:hAnsi="Verdana"/>
          <w:i/>
          <w:sz w:val="16"/>
          <w:szCs w:val="16"/>
        </w:rPr>
        <w:t xml:space="preserve">Manual sobre la restitución de viviendas y el patrimonio de refugiados y personas desplazadas. Aplicación de los Principios de </w:t>
      </w:r>
      <w:proofErr w:type="spellStart"/>
      <w:r w:rsidRPr="002F649F">
        <w:rPr>
          <w:rFonts w:ascii="Verdana" w:hAnsi="Verdana"/>
          <w:i/>
          <w:sz w:val="16"/>
          <w:szCs w:val="16"/>
        </w:rPr>
        <w:t>Pinheiro</w:t>
      </w:r>
      <w:proofErr w:type="spellEnd"/>
      <w:r w:rsidRPr="002F649F">
        <w:rPr>
          <w:rFonts w:ascii="Verdana" w:hAnsi="Verdana"/>
          <w:sz w:val="16"/>
          <w:szCs w:val="16"/>
        </w:rPr>
        <w:t xml:space="preserve">, Marzo de 2007, p. 47. </w:t>
      </w:r>
      <w:r w:rsidRPr="002F649F">
        <w:rPr>
          <w:rFonts w:ascii="Verdana" w:hAnsi="Verdana" w:cs="Times"/>
          <w:sz w:val="16"/>
          <w:szCs w:val="16"/>
        </w:rPr>
        <w:t xml:space="preserve">Disponible </w:t>
      </w:r>
      <w:proofErr w:type="gramStart"/>
      <w:r w:rsidRPr="002F649F">
        <w:rPr>
          <w:rFonts w:ascii="Verdana" w:hAnsi="Verdana" w:cs="Times"/>
          <w:sz w:val="16"/>
          <w:szCs w:val="16"/>
        </w:rPr>
        <w:t>en :</w:t>
      </w:r>
      <w:proofErr w:type="gramEnd"/>
      <w:r w:rsidRPr="002F649F">
        <w:rPr>
          <w:rFonts w:ascii="Verdana" w:hAnsi="Verdana" w:cs="Times"/>
          <w:sz w:val="16"/>
          <w:szCs w:val="16"/>
        </w:rPr>
        <w:t xml:space="preserve"> </w:t>
      </w:r>
      <w:hyperlink r:id="rId7" w:history="1">
        <w:r w:rsidRPr="00C066E4">
          <w:rPr>
            <w:rStyle w:val="Hyperlink"/>
            <w:rFonts w:ascii="Verdana" w:hAnsi="Verdana" w:cs="Times"/>
            <w:color w:val="auto"/>
            <w:sz w:val="16"/>
            <w:szCs w:val="16"/>
            <w:u w:val="none"/>
          </w:rPr>
          <w:t>http://www.ohchr.org/Documents/Publications/pinheiro_principles_sp.pdf</w:t>
        </w:r>
      </w:hyperlink>
      <w:r w:rsidRPr="00C066E4">
        <w:rPr>
          <w:rFonts w:ascii="Verdana" w:hAnsi="Verdana" w:cs="Times"/>
          <w:sz w:val="16"/>
          <w:szCs w:val="16"/>
        </w:rPr>
        <w:t>.</w:t>
      </w:r>
      <w:r w:rsidRPr="00C066E4">
        <w:rPr>
          <w:rFonts w:ascii="Verdana" w:hAnsi="Verdana" w:cs="Times"/>
          <w:b/>
          <w:sz w:val="16"/>
          <w:szCs w:val="16"/>
        </w:rPr>
        <w:t xml:space="preserve"> </w:t>
      </w:r>
    </w:p>
    <w:p w14:paraId="3C0C8914" w14:textId="77777777" w:rsidR="0046241E" w:rsidRPr="002F649F" w:rsidRDefault="0046241E" w:rsidP="002F649F">
      <w:pPr>
        <w:pStyle w:val="FootnoteText"/>
        <w:jc w:val="both"/>
        <w:rPr>
          <w:rFonts w:ascii="Verdana" w:hAnsi="Verdana" w:cs="Times"/>
          <w:b/>
          <w:sz w:val="16"/>
          <w:szCs w:val="16"/>
        </w:rPr>
      </w:pPr>
    </w:p>
  </w:footnote>
  <w:footnote w:id="156">
    <w:p w14:paraId="6BB25D64" w14:textId="585CF121" w:rsidR="0046241E" w:rsidRDefault="0046241E" w:rsidP="002F649F">
      <w:pPr>
        <w:pStyle w:val="FootnoteText"/>
        <w:jc w:val="both"/>
        <w:rPr>
          <w:rFonts w:ascii="Verdana" w:hAnsi="Verdana"/>
          <w:sz w:val="16"/>
          <w:szCs w:val="16"/>
        </w:rPr>
      </w:pPr>
      <w:r w:rsidRPr="00285FAA">
        <w:rPr>
          <w:rStyle w:val="FootnoteReference"/>
          <w:rFonts w:ascii="Verdana" w:hAnsi="Verdana"/>
          <w:sz w:val="16"/>
          <w:szCs w:val="16"/>
        </w:rPr>
        <w:footnoteRef/>
      </w:r>
      <w:r w:rsidRPr="00285FAA">
        <w:rPr>
          <w:rFonts w:ascii="Verdana" w:hAnsi="Verdana"/>
          <w:sz w:val="16"/>
          <w:szCs w:val="16"/>
        </w:rPr>
        <w:t xml:space="preserve"> </w:t>
      </w:r>
      <w:r w:rsidRPr="00285FAA">
        <w:rPr>
          <w:rFonts w:ascii="Verdana" w:hAnsi="Verdana"/>
          <w:sz w:val="16"/>
          <w:szCs w:val="16"/>
        </w:rPr>
        <w:tab/>
      </w:r>
      <w:r w:rsidRPr="00285FAA">
        <w:rPr>
          <w:rFonts w:ascii="Verdana" w:hAnsi="Verdana"/>
          <w:i/>
          <w:sz w:val="16"/>
          <w:szCs w:val="16"/>
        </w:rPr>
        <w:t>Cfr.</w:t>
      </w:r>
      <w:r w:rsidRPr="00285FAA">
        <w:rPr>
          <w:rFonts w:ascii="Verdana" w:hAnsi="Verdana"/>
          <w:sz w:val="16"/>
          <w:szCs w:val="16"/>
        </w:rPr>
        <w:t xml:space="preserve"> Corte IDH. </w:t>
      </w:r>
      <w:r w:rsidRPr="00285FAA">
        <w:rPr>
          <w:rFonts w:ascii="Verdana" w:hAnsi="Verdana"/>
          <w:i/>
          <w:sz w:val="16"/>
          <w:szCs w:val="16"/>
        </w:rPr>
        <w:t xml:space="preserve">Caso </w:t>
      </w:r>
      <w:proofErr w:type="spellStart"/>
      <w:r w:rsidRPr="00285FAA">
        <w:rPr>
          <w:rFonts w:ascii="Verdana" w:hAnsi="Verdana"/>
          <w:i/>
          <w:sz w:val="16"/>
          <w:szCs w:val="16"/>
        </w:rPr>
        <w:t>Yarce</w:t>
      </w:r>
      <w:proofErr w:type="spellEnd"/>
      <w:r w:rsidRPr="00285FAA">
        <w:rPr>
          <w:rFonts w:ascii="Verdana" w:hAnsi="Verdana"/>
          <w:i/>
          <w:sz w:val="16"/>
          <w:szCs w:val="16"/>
        </w:rPr>
        <w:t xml:space="preserve"> y otras Vs. Colombia. Excepción Preliminar, Fondo, Reparaciones y Costas.</w:t>
      </w:r>
      <w:r w:rsidRPr="00285FAA">
        <w:rPr>
          <w:rFonts w:ascii="Verdana" w:hAnsi="Verdana"/>
          <w:sz w:val="16"/>
          <w:szCs w:val="16"/>
        </w:rPr>
        <w:t xml:space="preserve"> Sentencia de 22 de noviembre de  2016, Serie C </w:t>
      </w:r>
      <w:r>
        <w:rPr>
          <w:rFonts w:ascii="Verdana" w:hAnsi="Verdana"/>
          <w:sz w:val="16"/>
          <w:szCs w:val="16"/>
        </w:rPr>
        <w:t>No. 325</w:t>
      </w:r>
      <w:r w:rsidRPr="009A3DA1">
        <w:rPr>
          <w:rFonts w:ascii="Verdana" w:hAnsi="Verdana"/>
          <w:sz w:val="16"/>
          <w:szCs w:val="16"/>
        </w:rPr>
        <w:t>, párr. 36</w:t>
      </w:r>
      <w:r>
        <w:rPr>
          <w:rFonts w:ascii="Verdana" w:hAnsi="Verdana"/>
          <w:sz w:val="16"/>
          <w:szCs w:val="16"/>
        </w:rPr>
        <w:t>4</w:t>
      </w:r>
      <w:r w:rsidRPr="00566C71">
        <w:rPr>
          <w:rFonts w:ascii="Verdana" w:hAnsi="Verdana"/>
          <w:sz w:val="16"/>
          <w:szCs w:val="16"/>
        </w:rPr>
        <w:t>.</w:t>
      </w:r>
    </w:p>
    <w:p w14:paraId="7850BB64" w14:textId="77777777" w:rsidR="0046241E" w:rsidRPr="002F649F" w:rsidRDefault="0046241E" w:rsidP="002F649F">
      <w:pPr>
        <w:pStyle w:val="FootnoteText"/>
        <w:jc w:val="both"/>
        <w:rPr>
          <w:rFonts w:ascii="Verdana" w:hAnsi="Verdana"/>
          <w:sz w:val="16"/>
          <w:szCs w:val="16"/>
          <w:lang w:val="es-ES_tradnl"/>
        </w:rPr>
      </w:pPr>
    </w:p>
  </w:footnote>
  <w:footnote w:id="157">
    <w:p w14:paraId="11CE2FA5" w14:textId="0235ACC3" w:rsidR="0046241E" w:rsidRDefault="0046241E" w:rsidP="002F649F">
      <w:pPr>
        <w:pStyle w:val="FootnoteText"/>
        <w:rPr>
          <w:rFonts w:ascii="Verdana" w:hAnsi="Verdana"/>
          <w:sz w:val="16"/>
          <w:szCs w:val="16"/>
          <w:lang w:val="es-ES_tradnl"/>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Véase </w:t>
      </w:r>
      <w:r w:rsidRPr="002F649F">
        <w:rPr>
          <w:rFonts w:ascii="Verdana" w:hAnsi="Verdana"/>
          <w:i/>
          <w:sz w:val="16"/>
          <w:szCs w:val="16"/>
          <w:lang w:val="es-ES_tradnl"/>
        </w:rPr>
        <w:t>supra</w:t>
      </w:r>
      <w:r>
        <w:rPr>
          <w:rFonts w:ascii="Verdana" w:hAnsi="Verdana"/>
          <w:sz w:val="16"/>
          <w:szCs w:val="16"/>
          <w:lang w:val="es-ES_tradnl"/>
        </w:rPr>
        <w:t xml:space="preserve"> párr. 129</w:t>
      </w:r>
      <w:r w:rsidRPr="002F649F">
        <w:rPr>
          <w:rFonts w:ascii="Verdana" w:hAnsi="Verdana"/>
          <w:sz w:val="16"/>
          <w:szCs w:val="16"/>
          <w:lang w:val="es-ES_tradnl"/>
        </w:rPr>
        <w:t xml:space="preserve"> del presente voto.</w:t>
      </w:r>
    </w:p>
    <w:p w14:paraId="1373106C" w14:textId="77777777" w:rsidR="0046241E" w:rsidRPr="002F649F" w:rsidRDefault="0046241E" w:rsidP="002F649F">
      <w:pPr>
        <w:pStyle w:val="FootnoteText"/>
        <w:rPr>
          <w:rFonts w:ascii="Verdana" w:hAnsi="Verdana"/>
          <w:sz w:val="16"/>
          <w:szCs w:val="16"/>
          <w:lang w:val="es-ES_tradnl"/>
        </w:rPr>
      </w:pPr>
    </w:p>
  </w:footnote>
  <w:footnote w:id="158">
    <w:p w14:paraId="001D932E" w14:textId="66E99081"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i/>
          <w:sz w:val="16"/>
          <w:szCs w:val="16"/>
        </w:rPr>
        <w:t>Cfr.</w:t>
      </w:r>
      <w:r w:rsidRPr="002F649F">
        <w:rPr>
          <w:rFonts w:ascii="Verdana" w:hAnsi="Verdana"/>
          <w:sz w:val="16"/>
          <w:szCs w:val="16"/>
        </w:rPr>
        <w:t xml:space="preserve"> Corte IDH. </w:t>
      </w:r>
      <w:r w:rsidRPr="002F649F">
        <w:rPr>
          <w:rFonts w:ascii="Verdana" w:hAnsi="Verdana"/>
          <w:i/>
          <w:sz w:val="16"/>
          <w:szCs w:val="16"/>
        </w:rPr>
        <w:t xml:space="preserve">Caso </w:t>
      </w:r>
      <w:proofErr w:type="spellStart"/>
      <w:r w:rsidRPr="002F649F">
        <w:rPr>
          <w:rFonts w:ascii="Verdana" w:hAnsi="Verdana"/>
          <w:i/>
          <w:sz w:val="16"/>
          <w:szCs w:val="16"/>
        </w:rPr>
        <w:t>Yarce</w:t>
      </w:r>
      <w:proofErr w:type="spellEnd"/>
      <w:r w:rsidRPr="002F649F">
        <w:rPr>
          <w:rFonts w:ascii="Verdana" w:hAnsi="Verdana"/>
          <w:i/>
          <w:sz w:val="16"/>
          <w:szCs w:val="16"/>
        </w:rPr>
        <w:t xml:space="preserve"> y otras Vs. Colombia. Excepción Preliminar, Fondo, Reparaciones y Costas.</w:t>
      </w:r>
      <w:r w:rsidRPr="002F649F">
        <w:rPr>
          <w:rFonts w:ascii="Verdana" w:hAnsi="Verdana"/>
          <w:sz w:val="16"/>
          <w:szCs w:val="16"/>
        </w:rPr>
        <w:t xml:space="preserve"> </w:t>
      </w:r>
      <w:r>
        <w:rPr>
          <w:rFonts w:ascii="Verdana" w:hAnsi="Verdana"/>
          <w:sz w:val="16"/>
          <w:szCs w:val="16"/>
        </w:rPr>
        <w:t>Sentencia de 22 de noviembre de</w:t>
      </w:r>
      <w:r w:rsidRPr="002F649F">
        <w:rPr>
          <w:rFonts w:ascii="Verdana" w:hAnsi="Verdana"/>
          <w:sz w:val="16"/>
          <w:szCs w:val="16"/>
        </w:rPr>
        <w:t xml:space="preserve"> 2016, Serie C </w:t>
      </w:r>
      <w:r>
        <w:rPr>
          <w:rFonts w:ascii="Verdana" w:hAnsi="Verdana"/>
          <w:sz w:val="16"/>
          <w:szCs w:val="16"/>
        </w:rPr>
        <w:t>No. 325</w:t>
      </w:r>
      <w:r w:rsidRPr="008757AC">
        <w:rPr>
          <w:rFonts w:ascii="Verdana" w:hAnsi="Verdana"/>
          <w:sz w:val="16"/>
          <w:szCs w:val="16"/>
        </w:rPr>
        <w:t xml:space="preserve">, </w:t>
      </w:r>
      <w:proofErr w:type="spellStart"/>
      <w:r w:rsidRPr="008757AC">
        <w:rPr>
          <w:rFonts w:ascii="Verdana" w:hAnsi="Verdana"/>
          <w:sz w:val="16"/>
          <w:szCs w:val="16"/>
        </w:rPr>
        <w:t>párrs</w:t>
      </w:r>
      <w:proofErr w:type="spellEnd"/>
      <w:r w:rsidRPr="008757AC">
        <w:rPr>
          <w:rFonts w:ascii="Verdana" w:hAnsi="Verdana"/>
          <w:sz w:val="16"/>
          <w:szCs w:val="16"/>
        </w:rPr>
        <w:t>. 26</w:t>
      </w:r>
      <w:r>
        <w:rPr>
          <w:rFonts w:ascii="Verdana" w:hAnsi="Verdana"/>
          <w:sz w:val="16"/>
          <w:szCs w:val="16"/>
        </w:rPr>
        <w:t>0</w:t>
      </w:r>
      <w:r w:rsidRPr="008757AC">
        <w:rPr>
          <w:rFonts w:ascii="Verdana" w:hAnsi="Verdana"/>
          <w:sz w:val="16"/>
          <w:szCs w:val="16"/>
        </w:rPr>
        <w:t xml:space="preserve"> y 26</w:t>
      </w:r>
      <w:r>
        <w:rPr>
          <w:rFonts w:ascii="Verdana" w:hAnsi="Verdana"/>
          <w:sz w:val="16"/>
          <w:szCs w:val="16"/>
        </w:rPr>
        <w:t>1</w:t>
      </w:r>
      <w:r w:rsidRPr="008757AC">
        <w:rPr>
          <w:rFonts w:ascii="Verdana" w:hAnsi="Verdana"/>
          <w:sz w:val="16"/>
          <w:szCs w:val="16"/>
        </w:rPr>
        <w:t>.</w:t>
      </w:r>
    </w:p>
    <w:p w14:paraId="729DBAF7" w14:textId="77777777" w:rsidR="0046241E" w:rsidRPr="002F649F" w:rsidRDefault="0046241E" w:rsidP="002F649F">
      <w:pPr>
        <w:pStyle w:val="FootnoteText"/>
        <w:jc w:val="both"/>
        <w:rPr>
          <w:rFonts w:ascii="Verdana" w:hAnsi="Verdana"/>
          <w:sz w:val="16"/>
          <w:szCs w:val="16"/>
          <w:lang w:val="es-ES_tradnl"/>
        </w:rPr>
      </w:pPr>
    </w:p>
  </w:footnote>
  <w:footnote w:id="159">
    <w:p w14:paraId="799FF639" w14:textId="759B7687"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2F649F">
        <w:rPr>
          <w:rFonts w:ascii="Verdana" w:hAnsi="Verdana"/>
          <w:bCs/>
          <w:sz w:val="16"/>
          <w:szCs w:val="16"/>
        </w:rPr>
        <w:t>Recordemos lo señalado, en cuanto a que respecto de los derechos sociales, como de cualquier otro derecho, el Comité DESC ha expresado que los Estados tienen la “</w:t>
      </w:r>
      <w:r w:rsidRPr="002F649F">
        <w:rPr>
          <w:rFonts w:ascii="Verdana" w:hAnsi="Verdana"/>
          <w:sz w:val="16"/>
          <w:szCs w:val="16"/>
        </w:rPr>
        <w:t xml:space="preserve">obligación de </w:t>
      </w:r>
      <w:r w:rsidRPr="002F649F">
        <w:rPr>
          <w:rFonts w:ascii="Verdana" w:hAnsi="Verdana"/>
          <w:i/>
          <w:iCs/>
          <w:sz w:val="16"/>
          <w:szCs w:val="16"/>
        </w:rPr>
        <w:t>proteger</w:t>
      </w:r>
      <w:r w:rsidRPr="002F649F">
        <w:rPr>
          <w:rFonts w:ascii="Verdana" w:hAnsi="Verdana"/>
          <w:iCs/>
          <w:sz w:val="16"/>
          <w:szCs w:val="16"/>
        </w:rPr>
        <w:t>[, que]</w:t>
      </w:r>
      <w:r w:rsidRPr="002F649F">
        <w:rPr>
          <w:rFonts w:ascii="Verdana" w:hAnsi="Verdana"/>
          <w:sz w:val="16"/>
          <w:szCs w:val="16"/>
        </w:rPr>
        <w:t xml:space="preserve"> requiere que los Estados adopten medidas para impedir que terceros interfieran” en el disfrute del derecho y la  “obligación de </w:t>
      </w:r>
      <w:r w:rsidRPr="002F649F">
        <w:rPr>
          <w:rFonts w:ascii="Verdana" w:hAnsi="Verdana"/>
          <w:i/>
          <w:iCs/>
          <w:sz w:val="16"/>
          <w:szCs w:val="16"/>
        </w:rPr>
        <w:t>cumplir</w:t>
      </w:r>
      <w:r w:rsidRPr="002F649F">
        <w:rPr>
          <w:rFonts w:ascii="Verdana" w:hAnsi="Verdana"/>
          <w:sz w:val="16"/>
          <w:szCs w:val="16"/>
        </w:rPr>
        <w:t xml:space="preserve"> (</w:t>
      </w:r>
      <w:r w:rsidRPr="002F649F">
        <w:rPr>
          <w:rFonts w:ascii="Verdana" w:hAnsi="Verdana"/>
          <w:i/>
          <w:iCs/>
          <w:sz w:val="16"/>
          <w:szCs w:val="16"/>
        </w:rPr>
        <w:t>facilitar</w:t>
      </w:r>
      <w:r w:rsidRPr="002F649F">
        <w:rPr>
          <w:rFonts w:ascii="Verdana" w:hAnsi="Verdana"/>
          <w:sz w:val="16"/>
          <w:szCs w:val="16"/>
        </w:rPr>
        <w:t>) [, que] requiere en particular que los Estados adopten medidas positivas que permitan y ayuden a los particulares y las comunidades disfrutar del derecho […]”.</w:t>
      </w:r>
    </w:p>
    <w:p w14:paraId="3558E6B2" w14:textId="77777777" w:rsidR="0046241E" w:rsidRPr="002F649F" w:rsidRDefault="0046241E" w:rsidP="002F649F">
      <w:pPr>
        <w:pStyle w:val="FootnoteText"/>
        <w:jc w:val="both"/>
        <w:rPr>
          <w:rFonts w:ascii="Verdana" w:hAnsi="Verdana"/>
          <w:sz w:val="16"/>
          <w:szCs w:val="16"/>
          <w:lang w:val="es-CR"/>
        </w:rPr>
      </w:pPr>
    </w:p>
  </w:footnote>
  <w:footnote w:id="160">
    <w:p w14:paraId="3D292C1B" w14:textId="77777777" w:rsidR="0046241E" w:rsidRPr="002F649F" w:rsidRDefault="0046241E" w:rsidP="007E6FF8">
      <w:pPr>
        <w:pStyle w:val="FootnoteText"/>
        <w:jc w:val="both"/>
        <w:rPr>
          <w:rFonts w:ascii="Verdana" w:hAnsi="Verdana"/>
          <w:sz w:val="16"/>
          <w:szCs w:val="16"/>
          <w:lang w:val="es-ES_tradnl"/>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Principios sobre la restitución de las viviendas y  el patrimonio de los refugiados y las personas  desplazadas. 28 de junio de 2005. Doc. E/CN.4/Sub.2/2005/17, principio 8.2.</w:t>
      </w:r>
    </w:p>
  </w:footnote>
  <w:footnote w:id="161">
    <w:p w14:paraId="27D5F556" w14:textId="77777777" w:rsidR="0046241E" w:rsidRDefault="0046241E" w:rsidP="007E6FF8">
      <w:pPr>
        <w:pStyle w:val="FootnoteText"/>
        <w:jc w:val="both"/>
      </w:pPr>
    </w:p>
    <w:p w14:paraId="45D329B5" w14:textId="26932082" w:rsidR="0046241E" w:rsidRDefault="0046241E" w:rsidP="007E6FF8">
      <w:pPr>
        <w:pStyle w:val="FootnoteText"/>
        <w:jc w:val="both"/>
        <w:rPr>
          <w:rFonts w:ascii="Verdana" w:hAnsi="Verdana"/>
          <w:sz w:val="16"/>
          <w:szCs w:val="16"/>
        </w:rPr>
      </w:pPr>
      <w:r w:rsidRPr="00D42C45">
        <w:rPr>
          <w:rStyle w:val="FootnoteReference"/>
          <w:rFonts w:ascii="Verdana" w:hAnsi="Verdana"/>
          <w:sz w:val="16"/>
          <w:szCs w:val="16"/>
        </w:rPr>
        <w:footnoteRef/>
      </w:r>
      <w:r w:rsidRPr="00D42C45">
        <w:rPr>
          <w:rFonts w:ascii="Verdana" w:hAnsi="Verdana"/>
          <w:sz w:val="16"/>
          <w:szCs w:val="16"/>
        </w:rPr>
        <w:t xml:space="preserve"> </w:t>
      </w:r>
      <w:r w:rsidRPr="00D42C45">
        <w:rPr>
          <w:rFonts w:ascii="Verdana" w:hAnsi="Verdana"/>
          <w:sz w:val="16"/>
          <w:szCs w:val="16"/>
        </w:rPr>
        <w:tab/>
      </w:r>
      <w:r w:rsidRPr="00D42C45">
        <w:rPr>
          <w:rFonts w:ascii="Verdana" w:hAnsi="Verdana"/>
          <w:i/>
          <w:sz w:val="16"/>
          <w:szCs w:val="16"/>
        </w:rPr>
        <w:t>Cfr.</w:t>
      </w:r>
      <w:r w:rsidRPr="00D42C45">
        <w:rPr>
          <w:rFonts w:ascii="Verdana" w:hAnsi="Verdana"/>
          <w:sz w:val="16"/>
          <w:szCs w:val="16"/>
        </w:rPr>
        <w:t xml:space="preserve"> Corte IDH. </w:t>
      </w:r>
      <w:r w:rsidRPr="00D42C45">
        <w:rPr>
          <w:rFonts w:ascii="Verdana" w:hAnsi="Verdana"/>
          <w:i/>
          <w:sz w:val="16"/>
          <w:szCs w:val="16"/>
        </w:rPr>
        <w:t xml:space="preserve">Caso </w:t>
      </w:r>
      <w:proofErr w:type="spellStart"/>
      <w:r w:rsidRPr="00D42C45">
        <w:rPr>
          <w:rFonts w:ascii="Verdana" w:hAnsi="Verdana"/>
          <w:i/>
          <w:sz w:val="16"/>
          <w:szCs w:val="16"/>
        </w:rPr>
        <w:t>Yarce</w:t>
      </w:r>
      <w:proofErr w:type="spellEnd"/>
      <w:r w:rsidRPr="00D42C45">
        <w:rPr>
          <w:rFonts w:ascii="Verdana" w:hAnsi="Verdana"/>
          <w:i/>
          <w:sz w:val="16"/>
          <w:szCs w:val="16"/>
        </w:rPr>
        <w:t xml:space="preserve"> y otras Vs. Colombia. Excepción Preliminar, Fondo, Reparaciones y Costas.</w:t>
      </w:r>
      <w:r w:rsidRPr="00D42C45">
        <w:rPr>
          <w:rFonts w:ascii="Verdana" w:hAnsi="Verdana"/>
          <w:sz w:val="16"/>
          <w:szCs w:val="16"/>
        </w:rPr>
        <w:t xml:space="preserve"> Sentencia de 22 de noviembre de  2016, Serie C </w:t>
      </w:r>
      <w:r>
        <w:rPr>
          <w:rFonts w:ascii="Verdana" w:hAnsi="Verdana"/>
          <w:sz w:val="16"/>
          <w:szCs w:val="16"/>
        </w:rPr>
        <w:t>No. 325</w:t>
      </w:r>
      <w:r w:rsidRPr="00D42C45">
        <w:rPr>
          <w:rFonts w:ascii="Verdana" w:hAnsi="Verdana"/>
          <w:sz w:val="16"/>
          <w:szCs w:val="16"/>
        </w:rPr>
        <w:t xml:space="preserve">, </w:t>
      </w:r>
      <w:r w:rsidRPr="008757AC">
        <w:rPr>
          <w:rFonts w:ascii="Verdana" w:hAnsi="Verdana"/>
          <w:sz w:val="16"/>
          <w:szCs w:val="16"/>
        </w:rPr>
        <w:t>párr. 21</w:t>
      </w:r>
      <w:r>
        <w:rPr>
          <w:rFonts w:ascii="Verdana" w:hAnsi="Verdana"/>
          <w:sz w:val="16"/>
          <w:szCs w:val="16"/>
        </w:rPr>
        <w:t xml:space="preserve">3 </w:t>
      </w:r>
    </w:p>
    <w:p w14:paraId="67200AB6" w14:textId="77777777" w:rsidR="0046241E" w:rsidRPr="007E6FF8" w:rsidRDefault="0046241E" w:rsidP="007E6FF8">
      <w:pPr>
        <w:pStyle w:val="FootnoteText"/>
        <w:jc w:val="both"/>
        <w:rPr>
          <w:rFonts w:ascii="Verdana" w:hAnsi="Verdana"/>
          <w:sz w:val="16"/>
          <w:szCs w:val="16"/>
          <w:lang w:val="es-ES_tradnl"/>
        </w:rPr>
      </w:pPr>
    </w:p>
  </w:footnote>
  <w:footnote w:id="162">
    <w:p w14:paraId="38ABA044" w14:textId="7164FFC3" w:rsidR="0046241E" w:rsidRPr="002F649F" w:rsidRDefault="0046241E" w:rsidP="002F649F">
      <w:pPr>
        <w:autoSpaceDE w:val="0"/>
        <w:autoSpaceDN w:val="0"/>
        <w:adjustRightInd w:val="0"/>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r>
      <w:r w:rsidRPr="008757AC">
        <w:rPr>
          <w:rFonts w:ascii="Verdana" w:hAnsi="Verdana"/>
          <w:sz w:val="16"/>
          <w:szCs w:val="16"/>
        </w:rPr>
        <w:t>En el párra</w:t>
      </w:r>
      <w:r w:rsidRPr="00DB01B1">
        <w:rPr>
          <w:rFonts w:ascii="Verdana" w:hAnsi="Verdana"/>
          <w:sz w:val="16"/>
          <w:szCs w:val="16"/>
        </w:rPr>
        <w:t>fo 83 de la Sentencia se indica</w:t>
      </w:r>
      <w:r w:rsidRPr="00591DCC">
        <w:rPr>
          <w:rFonts w:ascii="Verdana" w:hAnsi="Verdana"/>
          <w:sz w:val="16"/>
          <w:szCs w:val="16"/>
        </w:rPr>
        <w:t>, haciendo</w:t>
      </w:r>
      <w:r w:rsidRPr="002F649F">
        <w:rPr>
          <w:rFonts w:ascii="Verdana" w:hAnsi="Verdana"/>
          <w:sz w:val="16"/>
          <w:szCs w:val="16"/>
        </w:rPr>
        <w:t xml:space="preserve"> referencia a decisiones anteriores del Tribunal, “</w:t>
      </w:r>
      <w:r w:rsidRPr="002F649F">
        <w:rPr>
          <w:rFonts w:ascii="Verdana" w:hAnsi="Verdana"/>
          <w:sz w:val="16"/>
          <w:szCs w:val="16"/>
          <w:lang w:val="es-ES"/>
        </w:rPr>
        <w:t xml:space="preserve">la especial afectación a los derechos de las personas desplazadas en Colombia a raíz del conflicto armado interno, sobre todo respecto de la considerable vulnerabilidad de las mujeres cabezas de familia”, y se menciona que “el Alto Comisionado de las Naciones Unidas para los Derechos Humanos informó que a lo largo del 2002 el desplazamiento forzado de población registró un significativo crecimiento en el país, principalmente resaltó como preocupante el aumento de los desplazamientos </w:t>
      </w:r>
      <w:proofErr w:type="spellStart"/>
      <w:r w:rsidRPr="002F649F">
        <w:rPr>
          <w:rFonts w:ascii="Verdana" w:hAnsi="Verdana"/>
          <w:sz w:val="16"/>
          <w:szCs w:val="16"/>
          <w:lang w:val="es-ES"/>
        </w:rPr>
        <w:t>intraurbanos</w:t>
      </w:r>
      <w:proofErr w:type="spellEnd"/>
      <w:r w:rsidRPr="002F649F">
        <w:rPr>
          <w:rFonts w:ascii="Verdana" w:hAnsi="Verdana"/>
          <w:sz w:val="16"/>
          <w:szCs w:val="16"/>
          <w:lang w:val="es-ES"/>
        </w:rPr>
        <w:t xml:space="preserve">”. </w:t>
      </w:r>
      <w:r w:rsidRPr="002F649F">
        <w:rPr>
          <w:rFonts w:ascii="Verdana" w:hAnsi="Verdana"/>
          <w:sz w:val="16"/>
          <w:szCs w:val="16"/>
        </w:rPr>
        <w:t xml:space="preserve">De acuerdo a la Comisión Interamericana de Derechos Humanos, “[e]n la región, </w:t>
      </w:r>
      <w:r w:rsidRPr="002F649F">
        <w:rPr>
          <w:rFonts w:ascii="Verdana" w:eastAsiaTheme="minorHAnsi" w:hAnsi="Verdana" w:cs="Cambria"/>
          <w:sz w:val="16"/>
          <w:szCs w:val="16"/>
          <w:lang w:val="es-CR"/>
        </w:rPr>
        <w:t>Colombia es el país con el mayor número de desplazados internos con un total de 6.044.200 personas que se encontraban en esta situación a finales de 2014”. Comisión Interamericana de Derechos Humanos. Derechos humanos de migrantes, refugiados, apátridas, víctimas de trata de personas y desplazados internos: Normas y Estándares del Sistema Interamericano de Derechos Humanos. OEA/</w:t>
      </w:r>
      <w:proofErr w:type="spellStart"/>
      <w:r w:rsidRPr="002F649F">
        <w:rPr>
          <w:rFonts w:ascii="Verdana" w:eastAsiaTheme="minorHAnsi" w:hAnsi="Verdana" w:cs="Cambria"/>
          <w:sz w:val="16"/>
          <w:szCs w:val="16"/>
          <w:lang w:val="es-CR"/>
        </w:rPr>
        <w:t>Ser.L</w:t>
      </w:r>
      <w:proofErr w:type="spellEnd"/>
      <w:r w:rsidRPr="002F649F">
        <w:rPr>
          <w:rFonts w:ascii="Verdana" w:eastAsiaTheme="minorHAnsi" w:hAnsi="Verdana" w:cs="Cambria"/>
          <w:sz w:val="16"/>
          <w:szCs w:val="16"/>
          <w:lang w:val="es-CR"/>
        </w:rPr>
        <w:t xml:space="preserve">/V/II. Doc. 46/15. 31 diciembre 2015, párr. 61. </w:t>
      </w:r>
    </w:p>
  </w:footnote>
  <w:footnote w:id="163">
    <w:p w14:paraId="70A25359" w14:textId="77777777" w:rsidR="0046241E" w:rsidRDefault="0046241E" w:rsidP="002F649F">
      <w:pPr>
        <w:pStyle w:val="FootnoteText"/>
        <w:jc w:val="both"/>
        <w:rPr>
          <w:rFonts w:ascii="Verdana" w:hAnsi="Verdana"/>
          <w:sz w:val="16"/>
          <w:szCs w:val="16"/>
        </w:rPr>
      </w:pPr>
    </w:p>
    <w:p w14:paraId="6E64B021" w14:textId="69CCDAA9" w:rsidR="0046241E" w:rsidRPr="002F649F" w:rsidRDefault="0046241E" w:rsidP="002F649F">
      <w:pPr>
        <w:pStyle w:val="FootnoteText"/>
        <w:jc w:val="both"/>
        <w:rPr>
          <w:rFonts w:ascii="Verdana" w:hAnsi="Verdana"/>
          <w:sz w:val="16"/>
          <w:szCs w:val="16"/>
        </w:rPr>
      </w:pPr>
      <w:r w:rsidRPr="002F649F">
        <w:rPr>
          <w:rStyle w:val="FootnoteReference"/>
          <w:rFonts w:ascii="Verdana"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La Comisión Interamericana de Derechos Humanos ha advertido que “los desplazados internos tienen derecho a disfrutar libremente de los mismos derechos y libertades que el resto de los nacionales. No obstante, en la práctica, rara vez pueden hacerlo, puesto que el desplazamiento interno contradice per se el goce efectivo de los derechos humanos. Lo anterior se debe a que una de sus características principales consiste en que sus víctimas se han visto forzadas a huir de sus hogares o lugares de residencia habitual, lo cual implica dejar atrás sus proyectos de vida y en la mayoría de casos, la pérdida de tierras, viviendas y otros bienes y componentes del patrimonio, así como la afectación de diversos derechos que se derivan del desarraigo y del desplazamiento”. </w:t>
      </w:r>
      <w:r w:rsidRPr="002F649F">
        <w:rPr>
          <w:rFonts w:ascii="Verdana" w:eastAsiaTheme="minorHAnsi" w:hAnsi="Verdana" w:cs="Cambria"/>
          <w:sz w:val="16"/>
          <w:szCs w:val="16"/>
          <w:lang w:val="es-CR"/>
        </w:rPr>
        <w:t>Comisión Interamericana de Derechos Humanos. Derechos humanos de migrantes, refugiados, apátridas, víctimas de trata de personas y desplazados internos: Normas y Estándares del Sistema Interamericano de Derechos Humanos. OEA/</w:t>
      </w:r>
      <w:proofErr w:type="spellStart"/>
      <w:r w:rsidRPr="002F649F">
        <w:rPr>
          <w:rFonts w:ascii="Verdana" w:eastAsiaTheme="minorHAnsi" w:hAnsi="Verdana" w:cs="Cambria"/>
          <w:sz w:val="16"/>
          <w:szCs w:val="16"/>
          <w:lang w:val="es-CR"/>
        </w:rPr>
        <w:t>Ser.L</w:t>
      </w:r>
      <w:proofErr w:type="spellEnd"/>
      <w:r w:rsidRPr="002F649F">
        <w:rPr>
          <w:rFonts w:ascii="Verdana" w:eastAsiaTheme="minorHAnsi" w:hAnsi="Verdana" w:cs="Cambria"/>
          <w:sz w:val="16"/>
          <w:szCs w:val="16"/>
          <w:lang w:val="es-CR"/>
        </w:rPr>
        <w:t>/V/II. Doc. 46/15. 31 diciembre 2015, párr. 234</w:t>
      </w:r>
      <w:r w:rsidRPr="002F649F">
        <w:rPr>
          <w:rFonts w:ascii="Verdana" w:hAnsi="Verdana"/>
          <w:sz w:val="16"/>
          <w:szCs w:val="16"/>
        </w:rPr>
        <w:t>.</w:t>
      </w:r>
    </w:p>
  </w:footnote>
  <w:footnote w:id="164">
    <w:p w14:paraId="1E6461D0" w14:textId="77777777" w:rsidR="0046241E" w:rsidRDefault="0046241E" w:rsidP="002F649F">
      <w:pPr>
        <w:pStyle w:val="NormalWeb"/>
        <w:spacing w:before="0" w:beforeAutospacing="0" w:after="0" w:afterAutospacing="0"/>
        <w:jc w:val="both"/>
        <w:rPr>
          <w:rFonts w:ascii="Verdana" w:hAnsi="Verdana"/>
          <w:sz w:val="16"/>
          <w:szCs w:val="16"/>
        </w:rPr>
      </w:pPr>
    </w:p>
    <w:p w14:paraId="27C5C2CC" w14:textId="4C71A8DD" w:rsidR="0046241E" w:rsidRPr="002F649F" w:rsidRDefault="0046241E" w:rsidP="002F649F">
      <w:pPr>
        <w:pStyle w:val="NormalWeb"/>
        <w:spacing w:before="0" w:beforeAutospacing="0" w:after="0" w:afterAutospacing="0"/>
        <w:jc w:val="both"/>
        <w:rPr>
          <w:rFonts w:ascii="Verdana" w:eastAsiaTheme="minorHAnsi" w:hAnsi="Verdana"/>
          <w:sz w:val="16"/>
          <w:szCs w:val="16"/>
          <w:lang w:val="es-ES_tradnl" w:eastAsia="es-ES_tradnl"/>
        </w:rPr>
      </w:pPr>
      <w:r w:rsidRPr="002F649F">
        <w:rPr>
          <w:rStyle w:val="FootnoteReference"/>
          <w:rFonts w:ascii="Verdana" w:eastAsia="Batang" w:hAnsi="Verdana"/>
          <w:sz w:val="16"/>
          <w:szCs w:val="16"/>
        </w:rPr>
        <w:footnoteRef/>
      </w:r>
      <w:r w:rsidRPr="002F649F">
        <w:rPr>
          <w:rFonts w:ascii="Verdana" w:hAnsi="Verdana"/>
          <w:sz w:val="16"/>
          <w:szCs w:val="16"/>
        </w:rPr>
        <w:t xml:space="preserve"> </w:t>
      </w:r>
      <w:r w:rsidRPr="002F649F">
        <w:rPr>
          <w:rFonts w:ascii="Verdana" w:hAnsi="Verdana"/>
          <w:sz w:val="16"/>
          <w:szCs w:val="16"/>
        </w:rPr>
        <w:tab/>
        <w:t xml:space="preserve">Naciones Unidas, Asamblea General, Doc. A/71/310. 8 de agosto de 2016, </w:t>
      </w:r>
      <w:r w:rsidRPr="002F649F">
        <w:rPr>
          <w:rFonts w:ascii="Verdana" w:eastAsiaTheme="minorHAnsi" w:hAnsi="Verdana"/>
          <w:sz w:val="16"/>
          <w:szCs w:val="16"/>
          <w:lang w:val="es-ES_tradnl" w:eastAsia="es-ES_tradnl"/>
        </w:rPr>
        <w:t xml:space="preserve">Informe de la Relatora Especial sobre una vivienda adecuada como elemento integrante del derecho a un nivel de vida adecuado y sobre el derecho de no discriminación a este respecto, </w:t>
      </w:r>
      <w:proofErr w:type="spellStart"/>
      <w:r w:rsidRPr="002F649F">
        <w:rPr>
          <w:rFonts w:ascii="Verdana" w:eastAsiaTheme="minorHAnsi" w:hAnsi="Verdana"/>
          <w:sz w:val="16"/>
          <w:szCs w:val="16"/>
          <w:lang w:val="es-ES_tradnl" w:eastAsia="es-ES_tradnl"/>
        </w:rPr>
        <w:t>párrs</w:t>
      </w:r>
      <w:proofErr w:type="spellEnd"/>
      <w:r w:rsidRPr="002F649F">
        <w:rPr>
          <w:rFonts w:ascii="Verdana" w:eastAsiaTheme="minorHAnsi" w:hAnsi="Verdana"/>
          <w:sz w:val="16"/>
          <w:szCs w:val="16"/>
          <w:lang w:val="es-ES_tradnl" w:eastAsia="es-ES_tradnl"/>
        </w:rPr>
        <w:t>. 11 y 13.</w:t>
      </w:r>
    </w:p>
    <w:p w14:paraId="68CED9A8" w14:textId="77777777" w:rsidR="0046241E" w:rsidRPr="002F649F" w:rsidRDefault="0046241E" w:rsidP="002F649F">
      <w:pPr>
        <w:pStyle w:val="FootnoteText"/>
        <w:jc w:val="both"/>
        <w:rPr>
          <w:rFonts w:ascii="Verdana" w:hAnsi="Verdana"/>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F3C0D280"/>
    <w:lvl w:ilvl="0">
      <w:start w:val="297"/>
      <w:numFmt w:val="decimal"/>
      <w:lvlText w:val="%1."/>
      <w:lvlJc w:val="left"/>
      <w:pPr>
        <w:tabs>
          <w:tab w:val="num" w:pos="1276"/>
        </w:tabs>
        <w:ind w:left="1920" w:hanging="360"/>
      </w:pPr>
      <w:rPr>
        <w:rFonts w:ascii="Verdana" w:hAnsi="Verdana" w:hint="default"/>
        <w:b w:val="0"/>
        <w:i w:val="0"/>
        <w:strike w:val="0"/>
        <w:dstrike w:val="0"/>
        <w:color w:val="auto"/>
        <w:sz w:val="20"/>
      </w:rPr>
    </w:lvl>
    <w:lvl w:ilvl="1">
      <w:start w:val="1"/>
      <w:numFmt w:val="upperLetter"/>
      <w:pStyle w:val="Heading2"/>
      <w:lvlText w:val="%2."/>
      <w:lvlJc w:val="left"/>
      <w:pPr>
        <w:tabs>
          <w:tab w:val="num" w:pos="142"/>
        </w:tabs>
        <w:ind w:left="786" w:hanging="360"/>
      </w:pPr>
      <w:rPr>
        <w:rFonts w:ascii="Verdana" w:hAnsi="Verdana" w:hint="default"/>
        <w:b/>
        <w:i/>
        <w:strike w:val="0"/>
        <w:dstrike w:val="0"/>
        <w:color w:val="auto"/>
        <w:sz w:val="20"/>
      </w:rPr>
    </w:lvl>
    <w:lvl w:ilvl="2">
      <w:start w:val="1"/>
      <w:numFmt w:val="lowerRoman"/>
      <w:lvlText w:val="%3."/>
      <w:lvlJc w:val="left"/>
      <w:pPr>
        <w:tabs>
          <w:tab w:val="num" w:pos="0"/>
        </w:tabs>
        <w:ind w:left="2160" w:hanging="180"/>
      </w:pPr>
      <w:rPr>
        <w:rFonts w:hint="default"/>
      </w:rPr>
    </w:lvl>
    <w:lvl w:ilvl="3">
      <w:start w:val="266"/>
      <w:numFmt w:val="decimal"/>
      <w:lvlText w:val="%4."/>
      <w:lvlJc w:val="left"/>
      <w:pPr>
        <w:tabs>
          <w:tab w:val="num" w:pos="0"/>
        </w:tabs>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
    <w:nsid w:val="020C45E7"/>
    <w:multiLevelType w:val="hybridMultilevel"/>
    <w:tmpl w:val="C9289330"/>
    <w:lvl w:ilvl="0" w:tplc="60088B2A">
      <w:start w:val="1"/>
      <w:numFmt w:val="decimal"/>
      <w:lvlText w:val="%1."/>
      <w:lvlJc w:val="left"/>
      <w:pPr>
        <w:ind w:left="360" w:hanging="360"/>
      </w:pPr>
      <w:rPr>
        <w:rFonts w:ascii="Verdana" w:hAnsi="Verdana" w:hint="default"/>
        <w:b w:val="0"/>
        <w:i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141769"/>
    <w:multiLevelType w:val="hybridMultilevel"/>
    <w:tmpl w:val="AD24E6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4E9189F"/>
    <w:multiLevelType w:val="multilevel"/>
    <w:tmpl w:val="89366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6A05CF"/>
    <w:multiLevelType w:val="hybridMultilevel"/>
    <w:tmpl w:val="A9E685BC"/>
    <w:lvl w:ilvl="0" w:tplc="5CF2345A">
      <w:start w:val="194"/>
      <w:numFmt w:val="decimal"/>
      <w:lvlText w:val="%1."/>
      <w:lvlJc w:val="left"/>
      <w:pPr>
        <w:ind w:left="1302" w:hanging="375"/>
      </w:pPr>
      <w:rPr>
        <w:rFonts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93F66CA"/>
    <w:multiLevelType w:val="hybridMultilevel"/>
    <w:tmpl w:val="3FBA18FA"/>
    <w:lvl w:ilvl="0" w:tplc="FF8AF61C">
      <w:start w:val="1"/>
      <w:numFmt w:val="decimal"/>
      <w:lvlText w:val="%1."/>
      <w:lvlJc w:val="left"/>
      <w:pPr>
        <w:ind w:left="360" w:hanging="360"/>
      </w:pPr>
      <w:rPr>
        <w:b w:val="0"/>
        <w:i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DDB2FC2"/>
    <w:multiLevelType w:val="hybridMultilevel"/>
    <w:tmpl w:val="C5503DC0"/>
    <w:lvl w:ilvl="0" w:tplc="60088B2A">
      <w:start w:val="1"/>
      <w:numFmt w:val="decimal"/>
      <w:lvlText w:val="%1."/>
      <w:lvlJc w:val="left"/>
      <w:pPr>
        <w:ind w:left="360" w:hanging="360"/>
      </w:pPr>
      <w:rPr>
        <w:rFonts w:ascii="Verdana" w:hAnsi="Verdana" w:hint="default"/>
        <w:b w:val="0"/>
        <w:i w:val="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36F2E83"/>
    <w:multiLevelType w:val="hybridMultilevel"/>
    <w:tmpl w:val="30467760"/>
    <w:lvl w:ilvl="0" w:tplc="FEAE2600">
      <w:start w:val="1"/>
      <w:numFmt w:val="decimal"/>
      <w:pStyle w:val="Estilo4"/>
      <w:lvlText w:val="%1."/>
      <w:lvlJc w:val="left"/>
      <w:pPr>
        <w:ind w:left="3763" w:hanging="360"/>
      </w:pPr>
      <w:rPr>
        <w:rFonts w:hint="default"/>
        <w:sz w:val="2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nsid w:val="15547DDB"/>
    <w:multiLevelType w:val="hybridMultilevel"/>
    <w:tmpl w:val="4E240CC0"/>
    <w:lvl w:ilvl="0" w:tplc="9754093A">
      <w:start w:val="125"/>
      <w:numFmt w:val="decimal"/>
      <w:lvlText w:val="%1."/>
      <w:lvlJc w:val="left"/>
      <w:pPr>
        <w:ind w:left="735" w:hanging="375"/>
      </w:pPr>
      <w:rPr>
        <w:rFonts w:hint="default"/>
        <w:b w:val="0"/>
        <w:i w:val="0"/>
        <w:color w:val="auto"/>
        <w:sz w:val="20"/>
        <w:szCs w:val="20"/>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367686E"/>
    <w:multiLevelType w:val="hybridMultilevel"/>
    <w:tmpl w:val="2D160DE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71C282A"/>
    <w:multiLevelType w:val="hybridMultilevel"/>
    <w:tmpl w:val="8CF07B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C6144C9"/>
    <w:multiLevelType w:val="hybridMultilevel"/>
    <w:tmpl w:val="CFF0C922"/>
    <w:lvl w:ilvl="0" w:tplc="AAD2F022">
      <w:start w:val="1"/>
      <w:numFmt w:val="decimal"/>
      <w:pStyle w:val="PrrafodeSentencia"/>
      <w:lvlText w:val="%1."/>
      <w:lvlJc w:val="left"/>
      <w:pPr>
        <w:tabs>
          <w:tab w:val="num" w:pos="12305"/>
        </w:tabs>
      </w:pPr>
      <w:rPr>
        <w:rFonts w:ascii="Verdana" w:eastAsia="Times New Roman" w:hAnsi="Verdana"/>
        <w:b w:val="0"/>
        <w:bCs w:val="0"/>
        <w:i w:val="0"/>
        <w:iCs w:val="0"/>
        <w:strike w:val="0"/>
        <w:color w:val="auto"/>
        <w:sz w:val="20"/>
        <w:szCs w:val="20"/>
        <w:lang w:val="es-CO"/>
      </w:rPr>
    </w:lvl>
    <w:lvl w:ilvl="1" w:tplc="D8688752">
      <w:start w:val="1"/>
      <w:numFmt w:val="decimal"/>
      <w:lvlText w:val="%2."/>
      <w:lvlJc w:val="left"/>
      <w:pPr>
        <w:tabs>
          <w:tab w:val="num" w:pos="1080"/>
        </w:tabs>
        <w:ind w:left="1080" w:hanging="360"/>
      </w:pPr>
      <w:rPr>
        <w:rFonts w:hint="default"/>
        <w:b/>
        <w:bCs w:val="0"/>
        <w:i w:val="0"/>
        <w:iCs w:val="0"/>
        <w:color w:val="FF000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5F66E42"/>
    <w:multiLevelType w:val="hybridMultilevel"/>
    <w:tmpl w:val="9A02B28E"/>
    <w:lvl w:ilvl="0" w:tplc="0C0A000F">
      <w:start w:val="12"/>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3649533E"/>
    <w:multiLevelType w:val="hybridMultilevel"/>
    <w:tmpl w:val="59AA477C"/>
    <w:lvl w:ilvl="0" w:tplc="D5B2B9DC">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5907722"/>
    <w:multiLevelType w:val="hybridMultilevel"/>
    <w:tmpl w:val="6CDED8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60576F"/>
    <w:multiLevelType w:val="hybridMultilevel"/>
    <w:tmpl w:val="8CF07B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5D16F4A"/>
    <w:multiLevelType w:val="hybridMultilevel"/>
    <w:tmpl w:val="58AE9B96"/>
    <w:lvl w:ilvl="0" w:tplc="60088B2A">
      <w:start w:val="1"/>
      <w:numFmt w:val="decimal"/>
      <w:lvlText w:val="%1."/>
      <w:lvlJc w:val="left"/>
      <w:pPr>
        <w:ind w:left="360" w:hanging="360"/>
      </w:pPr>
      <w:rPr>
        <w:rFonts w:ascii="Verdana" w:hAnsi="Verdana" w:hint="default"/>
        <w:b w:val="0"/>
        <w:i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71D1968"/>
    <w:multiLevelType w:val="hybridMultilevel"/>
    <w:tmpl w:val="DF6602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2A21127"/>
    <w:multiLevelType w:val="hybridMultilevel"/>
    <w:tmpl w:val="5AC001C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76753A80"/>
    <w:multiLevelType w:val="hybridMultilevel"/>
    <w:tmpl w:val="1C343AEC"/>
    <w:lvl w:ilvl="0" w:tplc="D50E3498">
      <w:start w:val="1"/>
      <w:numFmt w:val="decimal"/>
      <w:lvlText w:val="%1."/>
      <w:lvlJc w:val="left"/>
      <w:pPr>
        <w:ind w:left="0" w:firstLine="0"/>
      </w:pPr>
      <w:rPr>
        <w:rFonts w:ascii="Verdana" w:hAnsi="Verdana" w:hint="default"/>
        <w:b w:val="0"/>
        <w:i w:val="0"/>
        <w:strike w:val="0"/>
        <w:color w:val="auto"/>
        <w:sz w:val="20"/>
        <w:szCs w:val="20"/>
        <w:lang w:val="es-ES_tradnl"/>
      </w:rPr>
    </w:lvl>
    <w:lvl w:ilvl="1" w:tplc="2C0A0019">
      <w:start w:val="1"/>
      <w:numFmt w:val="lowerLetter"/>
      <w:lvlText w:val="%2."/>
      <w:lvlJc w:val="left"/>
      <w:pPr>
        <w:ind w:left="1353" w:hanging="360"/>
      </w:pPr>
      <w:rPr>
        <w:rFonts w:hint="default"/>
        <w:lang w:val="es-CR"/>
      </w:rPr>
    </w:lvl>
    <w:lvl w:ilvl="2" w:tplc="B768858A">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tentative="1">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20">
    <w:nsid w:val="7C8C6BA1"/>
    <w:multiLevelType w:val="hybridMultilevel"/>
    <w:tmpl w:val="E44CC336"/>
    <w:lvl w:ilvl="0" w:tplc="0C0A000F">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8"/>
  </w:num>
  <w:num w:numId="3">
    <w:abstractNumId w:val="2"/>
  </w:num>
  <w:num w:numId="4">
    <w:abstractNumId w:val="13"/>
  </w:num>
  <w:num w:numId="5">
    <w:abstractNumId w:val="14"/>
  </w:num>
  <w:num w:numId="6">
    <w:abstractNumId w:val="9"/>
  </w:num>
  <w:num w:numId="7">
    <w:abstractNumId w:val="5"/>
  </w:num>
  <w:num w:numId="8">
    <w:abstractNumId w:val="16"/>
  </w:num>
  <w:num w:numId="9">
    <w:abstractNumId w:val="1"/>
  </w:num>
  <w:num w:numId="10">
    <w:abstractNumId w:val="8"/>
  </w:num>
  <w:num w:numId="11">
    <w:abstractNumId w:val="10"/>
  </w:num>
  <w:num w:numId="12">
    <w:abstractNumId w:val="15"/>
  </w:num>
  <w:num w:numId="13">
    <w:abstractNumId w:val="17"/>
  </w:num>
  <w:num w:numId="14">
    <w:abstractNumId w:val="3"/>
  </w:num>
  <w:num w:numId="15">
    <w:abstractNumId w:val="0"/>
  </w:num>
  <w:num w:numId="16">
    <w:abstractNumId w:val="4"/>
  </w:num>
  <w:num w:numId="17">
    <w:abstractNumId w:val="7"/>
  </w:num>
  <w:num w:numId="18">
    <w:abstractNumId w:val="20"/>
  </w:num>
  <w:num w:numId="19">
    <w:abstractNumId w:val="12"/>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02"/>
    <w:rsid w:val="00003847"/>
    <w:rsid w:val="00014EB7"/>
    <w:rsid w:val="00022126"/>
    <w:rsid w:val="00026378"/>
    <w:rsid w:val="00034E31"/>
    <w:rsid w:val="00036038"/>
    <w:rsid w:val="00037A64"/>
    <w:rsid w:val="0004196E"/>
    <w:rsid w:val="00047B71"/>
    <w:rsid w:val="000502DC"/>
    <w:rsid w:val="00055B8A"/>
    <w:rsid w:val="0005701D"/>
    <w:rsid w:val="00061BEF"/>
    <w:rsid w:val="000620D9"/>
    <w:rsid w:val="00064420"/>
    <w:rsid w:val="000749CA"/>
    <w:rsid w:val="00077A81"/>
    <w:rsid w:val="000838E1"/>
    <w:rsid w:val="000A2A00"/>
    <w:rsid w:val="000B4C8F"/>
    <w:rsid w:val="000B6A17"/>
    <w:rsid w:val="000B7FD4"/>
    <w:rsid w:val="000C5DBF"/>
    <w:rsid w:val="000C7332"/>
    <w:rsid w:val="000D1C69"/>
    <w:rsid w:val="000E2094"/>
    <w:rsid w:val="000E72D3"/>
    <w:rsid w:val="000F50FC"/>
    <w:rsid w:val="00100D26"/>
    <w:rsid w:val="001034EB"/>
    <w:rsid w:val="0012165A"/>
    <w:rsid w:val="00122DC3"/>
    <w:rsid w:val="00125BF4"/>
    <w:rsid w:val="00127CF2"/>
    <w:rsid w:val="00130205"/>
    <w:rsid w:val="00135E5A"/>
    <w:rsid w:val="001361C3"/>
    <w:rsid w:val="00142551"/>
    <w:rsid w:val="00143D75"/>
    <w:rsid w:val="00146629"/>
    <w:rsid w:val="00151226"/>
    <w:rsid w:val="0015396C"/>
    <w:rsid w:val="00154D15"/>
    <w:rsid w:val="0016270B"/>
    <w:rsid w:val="001640EE"/>
    <w:rsid w:val="00171CF1"/>
    <w:rsid w:val="0017580F"/>
    <w:rsid w:val="00187189"/>
    <w:rsid w:val="00190BC7"/>
    <w:rsid w:val="0019162F"/>
    <w:rsid w:val="00197667"/>
    <w:rsid w:val="001A4DB7"/>
    <w:rsid w:val="001B2F22"/>
    <w:rsid w:val="001B41C7"/>
    <w:rsid w:val="001B5F88"/>
    <w:rsid w:val="001C42D9"/>
    <w:rsid w:val="001C487A"/>
    <w:rsid w:val="001C52C6"/>
    <w:rsid w:val="001E1477"/>
    <w:rsid w:val="001E59D4"/>
    <w:rsid w:val="001E6EBD"/>
    <w:rsid w:val="001F0C01"/>
    <w:rsid w:val="001F37F5"/>
    <w:rsid w:val="0020045C"/>
    <w:rsid w:val="00202E76"/>
    <w:rsid w:val="00205BA9"/>
    <w:rsid w:val="002218DC"/>
    <w:rsid w:val="002240A8"/>
    <w:rsid w:val="00232313"/>
    <w:rsid w:val="002331A9"/>
    <w:rsid w:val="002426E1"/>
    <w:rsid w:val="00253B23"/>
    <w:rsid w:val="00253D4E"/>
    <w:rsid w:val="002551E2"/>
    <w:rsid w:val="002606B8"/>
    <w:rsid w:val="002703EC"/>
    <w:rsid w:val="00272773"/>
    <w:rsid w:val="00280606"/>
    <w:rsid w:val="00280744"/>
    <w:rsid w:val="00280F27"/>
    <w:rsid w:val="00285DF4"/>
    <w:rsid w:val="00285FAA"/>
    <w:rsid w:val="00290FCA"/>
    <w:rsid w:val="00291260"/>
    <w:rsid w:val="00295000"/>
    <w:rsid w:val="0029579D"/>
    <w:rsid w:val="002A5EAA"/>
    <w:rsid w:val="002B3E55"/>
    <w:rsid w:val="002B4780"/>
    <w:rsid w:val="002B5098"/>
    <w:rsid w:val="002B582F"/>
    <w:rsid w:val="002B6910"/>
    <w:rsid w:val="002B7FD9"/>
    <w:rsid w:val="002C5952"/>
    <w:rsid w:val="002C5F28"/>
    <w:rsid w:val="002D51E3"/>
    <w:rsid w:val="002D574A"/>
    <w:rsid w:val="002D5D40"/>
    <w:rsid w:val="002D63C0"/>
    <w:rsid w:val="002E5202"/>
    <w:rsid w:val="002F6466"/>
    <w:rsid w:val="002F649F"/>
    <w:rsid w:val="003131D8"/>
    <w:rsid w:val="00316D77"/>
    <w:rsid w:val="003344BA"/>
    <w:rsid w:val="00343D08"/>
    <w:rsid w:val="00354A23"/>
    <w:rsid w:val="003602E0"/>
    <w:rsid w:val="003825B6"/>
    <w:rsid w:val="0039341A"/>
    <w:rsid w:val="003A7070"/>
    <w:rsid w:val="003B0487"/>
    <w:rsid w:val="003D45E9"/>
    <w:rsid w:val="003D75D5"/>
    <w:rsid w:val="003E2C31"/>
    <w:rsid w:val="003F2593"/>
    <w:rsid w:val="003F361E"/>
    <w:rsid w:val="003F39F0"/>
    <w:rsid w:val="003F655F"/>
    <w:rsid w:val="003F7702"/>
    <w:rsid w:val="0040166E"/>
    <w:rsid w:val="00402B34"/>
    <w:rsid w:val="00402DFB"/>
    <w:rsid w:val="004112A2"/>
    <w:rsid w:val="00413857"/>
    <w:rsid w:val="00422D04"/>
    <w:rsid w:val="00424BB0"/>
    <w:rsid w:val="00430BB3"/>
    <w:rsid w:val="00435DE2"/>
    <w:rsid w:val="0044226C"/>
    <w:rsid w:val="004423A7"/>
    <w:rsid w:val="00454C7F"/>
    <w:rsid w:val="00456B82"/>
    <w:rsid w:val="0046241E"/>
    <w:rsid w:val="004635AE"/>
    <w:rsid w:val="00463C73"/>
    <w:rsid w:val="00471531"/>
    <w:rsid w:val="00481AE2"/>
    <w:rsid w:val="004853EB"/>
    <w:rsid w:val="004868EA"/>
    <w:rsid w:val="00491493"/>
    <w:rsid w:val="0049501C"/>
    <w:rsid w:val="004A269F"/>
    <w:rsid w:val="004A7E67"/>
    <w:rsid w:val="004B67D6"/>
    <w:rsid w:val="004C7141"/>
    <w:rsid w:val="004F27D6"/>
    <w:rsid w:val="004F2ABA"/>
    <w:rsid w:val="004F532C"/>
    <w:rsid w:val="00512C22"/>
    <w:rsid w:val="0052050C"/>
    <w:rsid w:val="00524D95"/>
    <w:rsid w:val="00537FB5"/>
    <w:rsid w:val="0054398A"/>
    <w:rsid w:val="0054594F"/>
    <w:rsid w:val="00552220"/>
    <w:rsid w:val="00554F56"/>
    <w:rsid w:val="00562220"/>
    <w:rsid w:val="00566C71"/>
    <w:rsid w:val="005713DD"/>
    <w:rsid w:val="005757FF"/>
    <w:rsid w:val="00576FF4"/>
    <w:rsid w:val="00577115"/>
    <w:rsid w:val="00581C34"/>
    <w:rsid w:val="005820C4"/>
    <w:rsid w:val="00586622"/>
    <w:rsid w:val="00591BEC"/>
    <w:rsid w:val="00591DCC"/>
    <w:rsid w:val="005A0BB8"/>
    <w:rsid w:val="005A3196"/>
    <w:rsid w:val="005A4DF1"/>
    <w:rsid w:val="005A71DA"/>
    <w:rsid w:val="005D0C72"/>
    <w:rsid w:val="005D30B3"/>
    <w:rsid w:val="005E179A"/>
    <w:rsid w:val="005E3AF6"/>
    <w:rsid w:val="005F24DA"/>
    <w:rsid w:val="005F2697"/>
    <w:rsid w:val="005F2CA2"/>
    <w:rsid w:val="005F323C"/>
    <w:rsid w:val="005F4E99"/>
    <w:rsid w:val="005F529A"/>
    <w:rsid w:val="005F6030"/>
    <w:rsid w:val="00605236"/>
    <w:rsid w:val="00605E16"/>
    <w:rsid w:val="00610378"/>
    <w:rsid w:val="006167EE"/>
    <w:rsid w:val="00632DA1"/>
    <w:rsid w:val="00636A8F"/>
    <w:rsid w:val="00637D3A"/>
    <w:rsid w:val="00640495"/>
    <w:rsid w:val="0064215C"/>
    <w:rsid w:val="00642DBA"/>
    <w:rsid w:val="00646C76"/>
    <w:rsid w:val="00652B63"/>
    <w:rsid w:val="00663D07"/>
    <w:rsid w:val="006667C0"/>
    <w:rsid w:val="0066737E"/>
    <w:rsid w:val="006729BB"/>
    <w:rsid w:val="0068364A"/>
    <w:rsid w:val="00684F3A"/>
    <w:rsid w:val="00687F8B"/>
    <w:rsid w:val="0069441C"/>
    <w:rsid w:val="00697B11"/>
    <w:rsid w:val="006B1400"/>
    <w:rsid w:val="006C467C"/>
    <w:rsid w:val="006C4706"/>
    <w:rsid w:val="006D30E7"/>
    <w:rsid w:val="006E0AAE"/>
    <w:rsid w:val="006E1E95"/>
    <w:rsid w:val="006E3713"/>
    <w:rsid w:val="006E4CDF"/>
    <w:rsid w:val="007004B6"/>
    <w:rsid w:val="0070163D"/>
    <w:rsid w:val="00706094"/>
    <w:rsid w:val="0070781F"/>
    <w:rsid w:val="00716AEC"/>
    <w:rsid w:val="007208BE"/>
    <w:rsid w:val="00727E5B"/>
    <w:rsid w:val="00733512"/>
    <w:rsid w:val="0073390C"/>
    <w:rsid w:val="007456A6"/>
    <w:rsid w:val="0075084F"/>
    <w:rsid w:val="00751774"/>
    <w:rsid w:val="00755D07"/>
    <w:rsid w:val="00755F19"/>
    <w:rsid w:val="00765031"/>
    <w:rsid w:val="00766AA4"/>
    <w:rsid w:val="0077690A"/>
    <w:rsid w:val="00780C78"/>
    <w:rsid w:val="007858D3"/>
    <w:rsid w:val="0078711F"/>
    <w:rsid w:val="00790075"/>
    <w:rsid w:val="00790894"/>
    <w:rsid w:val="0079690D"/>
    <w:rsid w:val="007A1D76"/>
    <w:rsid w:val="007A217F"/>
    <w:rsid w:val="007A3B5E"/>
    <w:rsid w:val="007B239E"/>
    <w:rsid w:val="007B4713"/>
    <w:rsid w:val="007B593A"/>
    <w:rsid w:val="007B6F2F"/>
    <w:rsid w:val="007C1B84"/>
    <w:rsid w:val="007C2C3A"/>
    <w:rsid w:val="007C3C07"/>
    <w:rsid w:val="007D4242"/>
    <w:rsid w:val="007E32BC"/>
    <w:rsid w:val="007E6FF8"/>
    <w:rsid w:val="007E7496"/>
    <w:rsid w:val="007F3BCC"/>
    <w:rsid w:val="007F3BFB"/>
    <w:rsid w:val="007F73F7"/>
    <w:rsid w:val="00805585"/>
    <w:rsid w:val="008162B7"/>
    <w:rsid w:val="00822A25"/>
    <w:rsid w:val="00823EB7"/>
    <w:rsid w:val="008248F0"/>
    <w:rsid w:val="008249C0"/>
    <w:rsid w:val="0083334B"/>
    <w:rsid w:val="008338A2"/>
    <w:rsid w:val="00836885"/>
    <w:rsid w:val="00843DEC"/>
    <w:rsid w:val="008447E8"/>
    <w:rsid w:val="00845EF7"/>
    <w:rsid w:val="00853A23"/>
    <w:rsid w:val="0085542A"/>
    <w:rsid w:val="0086493F"/>
    <w:rsid w:val="008669E7"/>
    <w:rsid w:val="00872450"/>
    <w:rsid w:val="0087303C"/>
    <w:rsid w:val="008757AC"/>
    <w:rsid w:val="00881664"/>
    <w:rsid w:val="008850CA"/>
    <w:rsid w:val="00891E58"/>
    <w:rsid w:val="008A176A"/>
    <w:rsid w:val="008A28EB"/>
    <w:rsid w:val="008A4A42"/>
    <w:rsid w:val="008A6A34"/>
    <w:rsid w:val="008B0B8B"/>
    <w:rsid w:val="008B668B"/>
    <w:rsid w:val="008B7704"/>
    <w:rsid w:val="008C6081"/>
    <w:rsid w:val="008D2EB8"/>
    <w:rsid w:val="008D7E1E"/>
    <w:rsid w:val="008E22E6"/>
    <w:rsid w:val="008F05BB"/>
    <w:rsid w:val="008F1973"/>
    <w:rsid w:val="008F1D3F"/>
    <w:rsid w:val="008F62B8"/>
    <w:rsid w:val="00904483"/>
    <w:rsid w:val="009048ED"/>
    <w:rsid w:val="00904F99"/>
    <w:rsid w:val="00913997"/>
    <w:rsid w:val="009202BF"/>
    <w:rsid w:val="009233E7"/>
    <w:rsid w:val="00945665"/>
    <w:rsid w:val="00950962"/>
    <w:rsid w:val="00952E25"/>
    <w:rsid w:val="009649CC"/>
    <w:rsid w:val="00972BE9"/>
    <w:rsid w:val="009848A2"/>
    <w:rsid w:val="0098725D"/>
    <w:rsid w:val="009873AF"/>
    <w:rsid w:val="00992161"/>
    <w:rsid w:val="00993C1C"/>
    <w:rsid w:val="009A3DA1"/>
    <w:rsid w:val="009B37C8"/>
    <w:rsid w:val="009B46BF"/>
    <w:rsid w:val="009B7900"/>
    <w:rsid w:val="009C490D"/>
    <w:rsid w:val="009C53FF"/>
    <w:rsid w:val="009D2857"/>
    <w:rsid w:val="009D6571"/>
    <w:rsid w:val="009D7937"/>
    <w:rsid w:val="009E6388"/>
    <w:rsid w:val="00A14C83"/>
    <w:rsid w:val="00A17AA8"/>
    <w:rsid w:val="00A32BE0"/>
    <w:rsid w:val="00A35E7D"/>
    <w:rsid w:val="00A41D56"/>
    <w:rsid w:val="00A52421"/>
    <w:rsid w:val="00A60F48"/>
    <w:rsid w:val="00A63FE1"/>
    <w:rsid w:val="00A64CE0"/>
    <w:rsid w:val="00A66BA0"/>
    <w:rsid w:val="00A73E26"/>
    <w:rsid w:val="00A74776"/>
    <w:rsid w:val="00A7488E"/>
    <w:rsid w:val="00A758B2"/>
    <w:rsid w:val="00A763C1"/>
    <w:rsid w:val="00A836F7"/>
    <w:rsid w:val="00A87CAA"/>
    <w:rsid w:val="00A90702"/>
    <w:rsid w:val="00A93A30"/>
    <w:rsid w:val="00A96B3A"/>
    <w:rsid w:val="00AA0D77"/>
    <w:rsid w:val="00AA0FFF"/>
    <w:rsid w:val="00AA23D5"/>
    <w:rsid w:val="00AA64BF"/>
    <w:rsid w:val="00AA68D6"/>
    <w:rsid w:val="00AC36F5"/>
    <w:rsid w:val="00AD0970"/>
    <w:rsid w:val="00AD13EB"/>
    <w:rsid w:val="00AE0EC8"/>
    <w:rsid w:val="00AE28C0"/>
    <w:rsid w:val="00AE694A"/>
    <w:rsid w:val="00AF6E46"/>
    <w:rsid w:val="00B06773"/>
    <w:rsid w:val="00B10112"/>
    <w:rsid w:val="00B16B13"/>
    <w:rsid w:val="00B31F53"/>
    <w:rsid w:val="00B32310"/>
    <w:rsid w:val="00B33357"/>
    <w:rsid w:val="00B33D31"/>
    <w:rsid w:val="00B33E4A"/>
    <w:rsid w:val="00B3488E"/>
    <w:rsid w:val="00B43177"/>
    <w:rsid w:val="00B4726F"/>
    <w:rsid w:val="00B51917"/>
    <w:rsid w:val="00B61E49"/>
    <w:rsid w:val="00B6307D"/>
    <w:rsid w:val="00B650EE"/>
    <w:rsid w:val="00B66114"/>
    <w:rsid w:val="00B676FF"/>
    <w:rsid w:val="00B707B2"/>
    <w:rsid w:val="00B7366A"/>
    <w:rsid w:val="00B7693A"/>
    <w:rsid w:val="00B80A1F"/>
    <w:rsid w:val="00B81EF8"/>
    <w:rsid w:val="00B85B82"/>
    <w:rsid w:val="00B904FB"/>
    <w:rsid w:val="00B92067"/>
    <w:rsid w:val="00B92089"/>
    <w:rsid w:val="00B95968"/>
    <w:rsid w:val="00BA2B60"/>
    <w:rsid w:val="00BA6A6A"/>
    <w:rsid w:val="00BA7677"/>
    <w:rsid w:val="00BA7C5B"/>
    <w:rsid w:val="00BC7FDB"/>
    <w:rsid w:val="00BD571A"/>
    <w:rsid w:val="00BE6B92"/>
    <w:rsid w:val="00BF1745"/>
    <w:rsid w:val="00C02A32"/>
    <w:rsid w:val="00C066E4"/>
    <w:rsid w:val="00C22A74"/>
    <w:rsid w:val="00C341A2"/>
    <w:rsid w:val="00C346AB"/>
    <w:rsid w:val="00C35D1A"/>
    <w:rsid w:val="00C4549B"/>
    <w:rsid w:val="00C45D89"/>
    <w:rsid w:val="00C45FBE"/>
    <w:rsid w:val="00C4645F"/>
    <w:rsid w:val="00C5026D"/>
    <w:rsid w:val="00C5155F"/>
    <w:rsid w:val="00C52250"/>
    <w:rsid w:val="00C55AA3"/>
    <w:rsid w:val="00C66AFA"/>
    <w:rsid w:val="00C73EB2"/>
    <w:rsid w:val="00C75624"/>
    <w:rsid w:val="00C763B1"/>
    <w:rsid w:val="00C84789"/>
    <w:rsid w:val="00C852E4"/>
    <w:rsid w:val="00C95034"/>
    <w:rsid w:val="00C9721E"/>
    <w:rsid w:val="00CA1D45"/>
    <w:rsid w:val="00CA318C"/>
    <w:rsid w:val="00CC0895"/>
    <w:rsid w:val="00CD11E7"/>
    <w:rsid w:val="00CF21C1"/>
    <w:rsid w:val="00CF5601"/>
    <w:rsid w:val="00CF7B22"/>
    <w:rsid w:val="00D17FA9"/>
    <w:rsid w:val="00D374BA"/>
    <w:rsid w:val="00D40230"/>
    <w:rsid w:val="00D42C45"/>
    <w:rsid w:val="00D439AA"/>
    <w:rsid w:val="00D441CB"/>
    <w:rsid w:val="00D4680E"/>
    <w:rsid w:val="00D471C0"/>
    <w:rsid w:val="00D47797"/>
    <w:rsid w:val="00D5289F"/>
    <w:rsid w:val="00D651D5"/>
    <w:rsid w:val="00D6744C"/>
    <w:rsid w:val="00D7314C"/>
    <w:rsid w:val="00D734D8"/>
    <w:rsid w:val="00D74B76"/>
    <w:rsid w:val="00D878FE"/>
    <w:rsid w:val="00D913BD"/>
    <w:rsid w:val="00DA1061"/>
    <w:rsid w:val="00DB01B1"/>
    <w:rsid w:val="00DB0535"/>
    <w:rsid w:val="00DB0CC4"/>
    <w:rsid w:val="00DB201E"/>
    <w:rsid w:val="00DC12C8"/>
    <w:rsid w:val="00DC265D"/>
    <w:rsid w:val="00DC4D8C"/>
    <w:rsid w:val="00DC791E"/>
    <w:rsid w:val="00DD2B20"/>
    <w:rsid w:val="00DE0AE5"/>
    <w:rsid w:val="00DE3FF9"/>
    <w:rsid w:val="00DE649B"/>
    <w:rsid w:val="00DF5343"/>
    <w:rsid w:val="00DF73A2"/>
    <w:rsid w:val="00E05E9E"/>
    <w:rsid w:val="00E153BD"/>
    <w:rsid w:val="00E3173F"/>
    <w:rsid w:val="00E34D24"/>
    <w:rsid w:val="00E41693"/>
    <w:rsid w:val="00E4315E"/>
    <w:rsid w:val="00E55B94"/>
    <w:rsid w:val="00E56DD5"/>
    <w:rsid w:val="00E65684"/>
    <w:rsid w:val="00E75181"/>
    <w:rsid w:val="00E81123"/>
    <w:rsid w:val="00E82A1B"/>
    <w:rsid w:val="00E97B90"/>
    <w:rsid w:val="00EA2E95"/>
    <w:rsid w:val="00EA78AD"/>
    <w:rsid w:val="00EB145A"/>
    <w:rsid w:val="00EB3956"/>
    <w:rsid w:val="00EC0491"/>
    <w:rsid w:val="00EC0C83"/>
    <w:rsid w:val="00EC6874"/>
    <w:rsid w:val="00ED18BE"/>
    <w:rsid w:val="00ED3691"/>
    <w:rsid w:val="00EE3D6D"/>
    <w:rsid w:val="00EF5507"/>
    <w:rsid w:val="00EF5DD2"/>
    <w:rsid w:val="00EF64F3"/>
    <w:rsid w:val="00F0479B"/>
    <w:rsid w:val="00F106A0"/>
    <w:rsid w:val="00F16A4C"/>
    <w:rsid w:val="00F17FED"/>
    <w:rsid w:val="00F22CCD"/>
    <w:rsid w:val="00F25AB8"/>
    <w:rsid w:val="00F40DDD"/>
    <w:rsid w:val="00F4579F"/>
    <w:rsid w:val="00F479F9"/>
    <w:rsid w:val="00F51299"/>
    <w:rsid w:val="00F52730"/>
    <w:rsid w:val="00F543C2"/>
    <w:rsid w:val="00F5616B"/>
    <w:rsid w:val="00F65DC9"/>
    <w:rsid w:val="00F72615"/>
    <w:rsid w:val="00F77A2E"/>
    <w:rsid w:val="00F86445"/>
    <w:rsid w:val="00F8735E"/>
    <w:rsid w:val="00F93E42"/>
    <w:rsid w:val="00F957B8"/>
    <w:rsid w:val="00FA02DF"/>
    <w:rsid w:val="00FA6EF7"/>
    <w:rsid w:val="00FB0B0D"/>
    <w:rsid w:val="00FB2EE4"/>
    <w:rsid w:val="00FB3E07"/>
    <w:rsid w:val="00FC18CD"/>
    <w:rsid w:val="00FD37A4"/>
    <w:rsid w:val="00FD523C"/>
    <w:rsid w:val="00FE4064"/>
    <w:rsid w:val="00FE61DB"/>
    <w:rsid w:val="00FF1FBB"/>
    <w:rsid w:val="00FF741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B3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2">
    <w:name w:val="heading 2"/>
    <w:basedOn w:val="Normal"/>
    <w:next w:val="Normal"/>
    <w:link w:val="Heading2Char"/>
    <w:uiPriority w:val="9"/>
    <w:qFormat/>
    <w:rsid w:val="00DF5343"/>
    <w:pPr>
      <w:keepNext/>
      <w:keepLines/>
      <w:numPr>
        <w:ilvl w:val="1"/>
        <w:numId w:val="15"/>
      </w:numPr>
      <w:spacing w:before="240" w:after="240"/>
      <w:jc w:val="both"/>
      <w:outlineLvl w:val="1"/>
    </w:pPr>
    <w:rPr>
      <w:rFonts w:ascii="Verdana" w:eastAsia="Times New Roman" w:hAnsi="Verdana" w:cs="Times New Roman"/>
      <w:b/>
      <w:bCs/>
      <w: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Colorful List - Accent 11,List Paragraph2,List Paragraph1"/>
    <w:basedOn w:val="Normal"/>
    <w:link w:val="ListParagraphChar"/>
    <w:qFormat/>
    <w:rsid w:val="003D75D5"/>
    <w:pPr>
      <w:ind w:left="720"/>
      <w:contextualSpacing/>
    </w:pPr>
  </w:style>
  <w:style w:type="paragraph" w:styleId="FootnoteText">
    <w:name w:val="footnote text"/>
    <w:aliases w:val="Footnote Text Char Char Char Char Char,Footnote Text Char Char Char Char,Footnote Text Cha,Footnote reference,FA Fu,Footnote Text Char Char Char,FA Fußnotentext,FA Fu?notentext,Footnote Text Char Char,FA Fuﬂnotentext,Ca,FA Fu?notente,C,ft"/>
    <w:basedOn w:val="Normal"/>
    <w:link w:val="FootnoteTextChar"/>
    <w:unhideWhenUsed/>
    <w:qFormat/>
    <w:rsid w:val="00E65684"/>
    <w:rPr>
      <w:rFonts w:ascii="Times New Roman" w:eastAsia="Times New Roman" w:hAnsi="Times New Roman" w:cs="Times New Roman"/>
      <w:sz w:val="20"/>
      <w:szCs w:val="20"/>
      <w:lang w:val="es-ES"/>
    </w:rPr>
  </w:style>
  <w:style w:type="character" w:customStyle="1" w:styleId="FootnoteTextChar">
    <w:name w:val="Footnote Text Char"/>
    <w:aliases w:val="Footnote Text Char Char Char Char Char Char,Footnote Text Char Char Char Char Char1,Footnote Text Cha Char,Footnote reference Char,FA Fu Char,Footnote Text Char Char Char Char1,FA Fußnotentext Char,FA Fu?notentext Char,Ca Char,C Char"/>
    <w:basedOn w:val="DefaultParagraphFont"/>
    <w:link w:val="FootnoteText"/>
    <w:rsid w:val="00E65684"/>
    <w:rPr>
      <w:rFonts w:ascii="Times New Roman" w:eastAsia="Times New Roman" w:hAnsi="Times New Roman" w:cs="Times New Roman"/>
      <w:sz w:val="20"/>
      <w:szCs w:val="20"/>
      <w:lang w:val="es-ES"/>
    </w:rPr>
  </w:style>
  <w:style w:type="character" w:styleId="FootnoteReference">
    <w:name w:val="footnote reference"/>
    <w:aliases w:val="Texto de nota al pie,Footnotes refss,Appel note de bas de page,Footnote number,referencia nota al pie,BVI fnr,f,4_G,16 Point,Superscript 6 Point,Texto nota al pie,Footnote Reference Char3,Footnote Reference Char1 Char,Ref. de nota al"/>
    <w:link w:val="4GChar"/>
    <w:uiPriority w:val="99"/>
    <w:unhideWhenUsed/>
    <w:qFormat/>
    <w:rsid w:val="00E65684"/>
    <w:rPr>
      <w:vertAlign w:val="superscript"/>
    </w:rPr>
  </w:style>
  <w:style w:type="paragraph" w:styleId="Header">
    <w:name w:val="header"/>
    <w:basedOn w:val="Normal"/>
    <w:link w:val="HeaderChar"/>
    <w:uiPriority w:val="99"/>
    <w:unhideWhenUsed/>
    <w:rsid w:val="00706094"/>
    <w:pPr>
      <w:tabs>
        <w:tab w:val="center" w:pos="4252"/>
        <w:tab w:val="right" w:pos="8504"/>
      </w:tabs>
    </w:pPr>
  </w:style>
  <w:style w:type="character" w:customStyle="1" w:styleId="HeaderChar">
    <w:name w:val="Header Char"/>
    <w:basedOn w:val="DefaultParagraphFont"/>
    <w:link w:val="Header"/>
    <w:uiPriority w:val="99"/>
    <w:rsid w:val="00706094"/>
    <w:rPr>
      <w:lang w:val="es-ES_tradnl"/>
    </w:rPr>
  </w:style>
  <w:style w:type="paragraph" w:styleId="Footer">
    <w:name w:val="footer"/>
    <w:basedOn w:val="Normal"/>
    <w:link w:val="FooterChar"/>
    <w:uiPriority w:val="99"/>
    <w:unhideWhenUsed/>
    <w:rsid w:val="00706094"/>
    <w:pPr>
      <w:tabs>
        <w:tab w:val="center" w:pos="4252"/>
        <w:tab w:val="right" w:pos="8504"/>
      </w:tabs>
    </w:pPr>
  </w:style>
  <w:style w:type="character" w:customStyle="1" w:styleId="FooterChar">
    <w:name w:val="Footer Char"/>
    <w:basedOn w:val="DefaultParagraphFont"/>
    <w:link w:val="Footer"/>
    <w:uiPriority w:val="99"/>
    <w:rsid w:val="00706094"/>
    <w:rPr>
      <w:lang w:val="es-ES_tradnl"/>
    </w:rPr>
  </w:style>
  <w:style w:type="character" w:styleId="CommentReference">
    <w:name w:val="annotation reference"/>
    <w:basedOn w:val="DefaultParagraphFont"/>
    <w:uiPriority w:val="99"/>
    <w:semiHidden/>
    <w:unhideWhenUsed/>
    <w:rsid w:val="00706094"/>
    <w:rPr>
      <w:sz w:val="18"/>
      <w:szCs w:val="18"/>
    </w:rPr>
  </w:style>
  <w:style w:type="paragraph" w:styleId="CommentText">
    <w:name w:val="annotation text"/>
    <w:basedOn w:val="Normal"/>
    <w:link w:val="CommentTextChar"/>
    <w:uiPriority w:val="99"/>
    <w:semiHidden/>
    <w:unhideWhenUsed/>
    <w:rsid w:val="00706094"/>
  </w:style>
  <w:style w:type="character" w:customStyle="1" w:styleId="CommentTextChar">
    <w:name w:val="Comment Text Char"/>
    <w:basedOn w:val="DefaultParagraphFont"/>
    <w:link w:val="CommentText"/>
    <w:uiPriority w:val="99"/>
    <w:semiHidden/>
    <w:rsid w:val="00706094"/>
    <w:rPr>
      <w:lang w:val="es-ES_tradnl"/>
    </w:rPr>
  </w:style>
  <w:style w:type="paragraph" w:styleId="CommentSubject">
    <w:name w:val="annotation subject"/>
    <w:basedOn w:val="CommentText"/>
    <w:next w:val="CommentText"/>
    <w:link w:val="CommentSubjectChar"/>
    <w:uiPriority w:val="99"/>
    <w:semiHidden/>
    <w:unhideWhenUsed/>
    <w:rsid w:val="00706094"/>
    <w:rPr>
      <w:b/>
      <w:bCs/>
      <w:sz w:val="20"/>
      <w:szCs w:val="20"/>
    </w:rPr>
  </w:style>
  <w:style w:type="character" w:customStyle="1" w:styleId="CommentSubjectChar">
    <w:name w:val="Comment Subject Char"/>
    <w:basedOn w:val="CommentTextChar"/>
    <w:link w:val="CommentSubject"/>
    <w:uiPriority w:val="99"/>
    <w:semiHidden/>
    <w:rsid w:val="00706094"/>
    <w:rPr>
      <w:b/>
      <w:bCs/>
      <w:sz w:val="20"/>
      <w:szCs w:val="20"/>
      <w:lang w:val="es-ES_tradnl"/>
    </w:rPr>
  </w:style>
  <w:style w:type="paragraph" w:styleId="BalloonText">
    <w:name w:val="Balloon Text"/>
    <w:basedOn w:val="Normal"/>
    <w:link w:val="BalloonTextChar"/>
    <w:uiPriority w:val="99"/>
    <w:semiHidden/>
    <w:unhideWhenUsed/>
    <w:rsid w:val="007060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6094"/>
    <w:rPr>
      <w:rFonts w:ascii="Lucida Grande" w:hAnsi="Lucida Grande" w:cs="Lucida Grande"/>
      <w:sz w:val="18"/>
      <w:szCs w:val="18"/>
      <w:lang w:val="es-ES_tradnl"/>
    </w:rPr>
  </w:style>
  <w:style w:type="paragraph" w:styleId="NormalWeb">
    <w:name w:val="Normal (Web)"/>
    <w:basedOn w:val="Normal"/>
    <w:uiPriority w:val="99"/>
    <w:unhideWhenUsed/>
    <w:rsid w:val="00F40DDD"/>
    <w:pPr>
      <w:spacing w:before="100" w:beforeAutospacing="1" w:after="100" w:afterAutospacing="1"/>
    </w:pPr>
    <w:rPr>
      <w:rFonts w:ascii="Times" w:hAnsi="Times" w:cs="Times New Roman"/>
      <w:sz w:val="20"/>
      <w:szCs w:val="20"/>
      <w:lang w:val="es-MX"/>
    </w:rPr>
  </w:style>
  <w:style w:type="paragraph" w:customStyle="1" w:styleId="Default">
    <w:name w:val="Default"/>
    <w:rsid w:val="003A7070"/>
    <w:pPr>
      <w:widowControl w:val="0"/>
      <w:autoSpaceDE w:val="0"/>
      <w:autoSpaceDN w:val="0"/>
      <w:adjustRightInd w:val="0"/>
    </w:pPr>
    <w:rPr>
      <w:rFonts w:ascii="Verdana" w:hAnsi="Verdana" w:cs="Verdana"/>
      <w:color w:val="000000"/>
      <w:lang w:val="es-ES"/>
    </w:rPr>
  </w:style>
  <w:style w:type="character" w:styleId="PageNumber">
    <w:name w:val="page number"/>
    <w:basedOn w:val="DefaultParagraphFont"/>
    <w:uiPriority w:val="99"/>
    <w:semiHidden/>
    <w:unhideWhenUsed/>
    <w:rsid w:val="00C4645F"/>
  </w:style>
  <w:style w:type="character" w:styleId="Hyperlink">
    <w:name w:val="Hyperlink"/>
    <w:uiPriority w:val="99"/>
    <w:rsid w:val="005F323C"/>
    <w:rPr>
      <w:color w:val="0000FF"/>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5F323C"/>
    <w:pPr>
      <w:jc w:val="both"/>
    </w:pPr>
    <w:rPr>
      <w:vertAlign w:val="superscript"/>
      <w:lang w:val="es-MX"/>
    </w:rPr>
  </w:style>
  <w:style w:type="character" w:styleId="Strong">
    <w:name w:val="Strong"/>
    <w:uiPriority w:val="22"/>
    <w:qFormat/>
    <w:rsid w:val="0064215C"/>
    <w:rPr>
      <w:b/>
      <w:bCs/>
    </w:rPr>
  </w:style>
  <w:style w:type="paragraph" w:customStyle="1" w:styleId="Estilo5">
    <w:name w:val="Estilo5"/>
    <w:basedOn w:val="ListParagraph"/>
    <w:qFormat/>
    <w:rsid w:val="0064215C"/>
    <w:pPr>
      <w:tabs>
        <w:tab w:val="num" w:pos="0"/>
      </w:tabs>
      <w:suppressAutoHyphens/>
      <w:spacing w:after="120" w:line="216" w:lineRule="auto"/>
      <w:ind w:left="0" w:right="18"/>
      <w:contextualSpacing w:val="0"/>
      <w:jc w:val="both"/>
    </w:pPr>
    <w:rPr>
      <w:rFonts w:ascii="Verdana" w:eastAsia="Calibri" w:hAnsi="Verdana" w:cs="Times New Roman"/>
      <w:spacing w:val="-2"/>
      <w:sz w:val="20"/>
      <w:szCs w:val="20"/>
      <w:lang w:val="es-MX" w:eastAsia="ar-SA"/>
    </w:rPr>
  </w:style>
  <w:style w:type="character" w:customStyle="1" w:styleId="Heading2Char">
    <w:name w:val="Heading 2 Char"/>
    <w:basedOn w:val="DefaultParagraphFont"/>
    <w:link w:val="Heading2"/>
    <w:uiPriority w:val="9"/>
    <w:rsid w:val="00DF5343"/>
    <w:rPr>
      <w:rFonts w:ascii="Verdana" w:eastAsia="Times New Roman" w:hAnsi="Verdana" w:cs="Times New Roman"/>
      <w:b/>
      <w:bCs/>
      <w:i/>
      <w:sz w:val="20"/>
      <w:szCs w:val="20"/>
      <w:lang w:val="es-ES_tradnl" w:eastAsia="en-US"/>
    </w:rPr>
  </w:style>
  <w:style w:type="paragraph" w:styleId="Title">
    <w:name w:val="Title"/>
    <w:basedOn w:val="Normal"/>
    <w:link w:val="TitleChar"/>
    <w:qFormat/>
    <w:rsid w:val="00EF64F3"/>
    <w:pPr>
      <w:jc w:val="center"/>
    </w:pPr>
    <w:rPr>
      <w:rFonts w:ascii="Verdana" w:eastAsia="Times New Roman" w:hAnsi="Verdana" w:cs="Times New Roman"/>
      <w:b/>
      <w:noProof/>
      <w:sz w:val="20"/>
      <w:szCs w:val="20"/>
      <w:lang w:eastAsia="en-US"/>
    </w:rPr>
  </w:style>
  <w:style w:type="character" w:customStyle="1" w:styleId="TtuloCar">
    <w:name w:val="Título Car"/>
    <w:basedOn w:val="DefaultParagraphFont"/>
    <w:uiPriority w:val="10"/>
    <w:rsid w:val="00EF64F3"/>
    <w:rPr>
      <w:rFonts w:asciiTheme="majorHAnsi" w:eastAsiaTheme="majorEastAsia" w:hAnsiTheme="majorHAnsi" w:cstheme="majorBidi"/>
      <w:color w:val="17365D" w:themeColor="text2" w:themeShade="BF"/>
      <w:spacing w:val="5"/>
      <w:kern w:val="28"/>
      <w:sz w:val="52"/>
      <w:szCs w:val="52"/>
      <w:lang w:val="es-ES_tradnl"/>
    </w:rPr>
  </w:style>
  <w:style w:type="character" w:customStyle="1" w:styleId="TitleChar">
    <w:name w:val="Title Char"/>
    <w:basedOn w:val="DefaultParagraphFont"/>
    <w:link w:val="Title"/>
    <w:rsid w:val="00EF64F3"/>
    <w:rPr>
      <w:rFonts w:ascii="Verdana" w:eastAsia="Times New Roman" w:hAnsi="Verdana" w:cs="Times New Roman"/>
      <w:b/>
      <w:noProof/>
      <w:sz w:val="20"/>
      <w:szCs w:val="20"/>
      <w:lang w:val="es-ES_tradnl" w:eastAsia="en-US"/>
    </w:rPr>
  </w:style>
  <w:style w:type="paragraph" w:styleId="Subtitle">
    <w:name w:val="Subtitle"/>
    <w:basedOn w:val="Normal"/>
    <w:next w:val="Normal"/>
    <w:link w:val="SubtitleChar"/>
    <w:uiPriority w:val="11"/>
    <w:qFormat/>
    <w:rsid w:val="00EF64F3"/>
    <w:pPr>
      <w:numPr>
        <w:ilvl w:val="1"/>
      </w:numPr>
      <w:jc w:val="center"/>
    </w:pPr>
    <w:rPr>
      <w:rFonts w:ascii="Verdana" w:eastAsia="Times New Roman" w:hAnsi="Verdana" w:cs="Times New Roman"/>
      <w:b/>
      <w:i/>
      <w:iCs/>
      <w:noProof/>
      <w:spacing w:val="15"/>
      <w:sz w:val="20"/>
      <w:lang w:eastAsia="en-US"/>
    </w:rPr>
  </w:style>
  <w:style w:type="character" w:customStyle="1" w:styleId="SubttuloCar">
    <w:name w:val="Subtítulo Car"/>
    <w:basedOn w:val="DefaultParagraphFont"/>
    <w:uiPriority w:val="11"/>
    <w:rsid w:val="00EF64F3"/>
    <w:rPr>
      <w:rFonts w:asciiTheme="majorHAnsi" w:eastAsiaTheme="majorEastAsia" w:hAnsiTheme="majorHAnsi" w:cstheme="majorBidi"/>
      <w:i/>
      <w:iCs/>
      <w:color w:val="4F81BD" w:themeColor="accent1"/>
      <w:spacing w:val="15"/>
      <w:lang w:val="es-ES_tradnl"/>
    </w:rPr>
  </w:style>
  <w:style w:type="character" w:customStyle="1" w:styleId="SubtitleChar">
    <w:name w:val="Subtitle Char"/>
    <w:basedOn w:val="DefaultParagraphFont"/>
    <w:link w:val="Subtitle"/>
    <w:uiPriority w:val="11"/>
    <w:rsid w:val="00EF64F3"/>
    <w:rPr>
      <w:rFonts w:ascii="Verdana" w:eastAsia="Times New Roman" w:hAnsi="Verdana" w:cs="Times New Roman"/>
      <w:b/>
      <w:i/>
      <w:iCs/>
      <w:noProof/>
      <w:spacing w:val="15"/>
      <w:sz w:val="20"/>
      <w:lang w:val="es-ES_tradnl" w:eastAsia="en-US"/>
    </w:rPr>
  </w:style>
  <w:style w:type="character" w:customStyle="1" w:styleId="ListParagraphChar">
    <w:name w:val="List Paragraph Char"/>
    <w:aliases w:val="Footnote Char,Colorful List - Accent 11 Char,List Paragraph2 Char,List Paragraph1 Char"/>
    <w:basedOn w:val="DefaultParagraphFont"/>
    <w:link w:val="ListParagraph"/>
    <w:locked/>
    <w:rsid w:val="00D17FA9"/>
    <w:rPr>
      <w:lang w:val="es-ES_tradnl"/>
    </w:rPr>
  </w:style>
  <w:style w:type="paragraph" w:customStyle="1" w:styleId="Estilo4">
    <w:name w:val="Estilo4"/>
    <w:basedOn w:val="Normal"/>
    <w:link w:val="Estilo4Car"/>
    <w:qFormat/>
    <w:rsid w:val="00D17FA9"/>
    <w:pPr>
      <w:numPr>
        <w:numId w:val="17"/>
      </w:numPr>
      <w:spacing w:after="160" w:line="259" w:lineRule="auto"/>
      <w:ind w:left="0" w:firstLine="0"/>
    </w:pPr>
    <w:rPr>
      <w:rFonts w:ascii="Times New Roman" w:eastAsiaTheme="minorHAnsi" w:hAnsi="Times New Roman" w:cs="Times New Roman"/>
      <w:lang w:val="es-UY" w:eastAsia="en-US"/>
    </w:rPr>
  </w:style>
  <w:style w:type="character" w:customStyle="1" w:styleId="Estilo4Car">
    <w:name w:val="Estilo4 Car"/>
    <w:basedOn w:val="DefaultParagraphFont"/>
    <w:link w:val="Estilo4"/>
    <w:rsid w:val="00D17FA9"/>
    <w:rPr>
      <w:rFonts w:ascii="Times New Roman" w:eastAsiaTheme="minorHAnsi" w:hAnsi="Times New Roman" w:cs="Times New Roman"/>
      <w:lang w:val="es-UY" w:eastAsia="en-US"/>
    </w:rPr>
  </w:style>
  <w:style w:type="paragraph" w:customStyle="1" w:styleId="style11">
    <w:name w:val="style11"/>
    <w:basedOn w:val="Normal"/>
    <w:rsid w:val="00D17FA9"/>
    <w:pPr>
      <w:spacing w:before="192" w:after="192"/>
      <w:ind w:left="120" w:right="144"/>
      <w:jc w:val="both"/>
    </w:pPr>
    <w:rPr>
      <w:rFonts w:ascii="Times New Roman" w:eastAsia="Times New Roman" w:hAnsi="Times New Roman" w:cs="Times New Roman"/>
      <w:lang w:val="es-CR" w:eastAsia="es-CR"/>
    </w:rPr>
  </w:style>
  <w:style w:type="paragraph" w:customStyle="1" w:styleId="PrrafodeSentencia">
    <w:name w:val="*. Párrafo de Sentencia"/>
    <w:basedOn w:val="Normal"/>
    <w:link w:val="PrrafodeSentenciaChar"/>
    <w:qFormat/>
    <w:rsid w:val="00454C7F"/>
    <w:pPr>
      <w:numPr>
        <w:numId w:val="20"/>
      </w:numPr>
      <w:tabs>
        <w:tab w:val="left" w:pos="567"/>
      </w:tabs>
      <w:jc w:val="both"/>
    </w:pPr>
    <w:rPr>
      <w:rFonts w:ascii="Verdana" w:eastAsia="Batang" w:hAnsi="Verdana" w:cs="Times New Roman"/>
      <w:sz w:val="20"/>
      <w:szCs w:val="20"/>
      <w:lang w:eastAsia="es-MX"/>
    </w:rPr>
  </w:style>
  <w:style w:type="character" w:customStyle="1" w:styleId="PrrafodeSentenciaChar">
    <w:name w:val="*. Párrafo de Sentencia Char"/>
    <w:link w:val="PrrafodeSentencia"/>
    <w:rsid w:val="00454C7F"/>
    <w:rPr>
      <w:rFonts w:ascii="Verdana" w:eastAsia="Batang" w:hAnsi="Verdana" w:cs="Times New Roman"/>
      <w:sz w:val="20"/>
      <w:szCs w:val="20"/>
      <w:lang w:val="es-ES_tradnl" w:eastAsia="es-MX"/>
    </w:rPr>
  </w:style>
  <w:style w:type="character" w:styleId="FollowedHyperlink">
    <w:name w:val="FollowedHyperlink"/>
    <w:basedOn w:val="DefaultParagraphFont"/>
    <w:uiPriority w:val="99"/>
    <w:semiHidden/>
    <w:unhideWhenUsed/>
    <w:rsid w:val="0083334B"/>
    <w:rPr>
      <w:color w:val="800080" w:themeColor="followedHyperlink"/>
      <w:u w:val="single"/>
    </w:rPr>
  </w:style>
  <w:style w:type="paragraph" w:styleId="EndnoteText">
    <w:name w:val="endnote text"/>
    <w:basedOn w:val="Normal"/>
    <w:link w:val="EndnoteTextChar"/>
    <w:uiPriority w:val="99"/>
    <w:unhideWhenUsed/>
    <w:rsid w:val="008D7E1E"/>
  </w:style>
  <w:style w:type="character" w:customStyle="1" w:styleId="EndnoteTextChar">
    <w:name w:val="Endnote Text Char"/>
    <w:basedOn w:val="DefaultParagraphFont"/>
    <w:link w:val="EndnoteText"/>
    <w:uiPriority w:val="99"/>
    <w:rsid w:val="008D7E1E"/>
    <w:rPr>
      <w:lang w:val="es-ES_tradnl"/>
    </w:rPr>
  </w:style>
  <w:style w:type="character" w:styleId="EndnoteReference">
    <w:name w:val="endnote reference"/>
    <w:basedOn w:val="DefaultParagraphFont"/>
    <w:uiPriority w:val="99"/>
    <w:unhideWhenUsed/>
    <w:rsid w:val="008D7E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2">
    <w:name w:val="heading 2"/>
    <w:basedOn w:val="Normal"/>
    <w:next w:val="Normal"/>
    <w:link w:val="Heading2Char"/>
    <w:uiPriority w:val="9"/>
    <w:qFormat/>
    <w:rsid w:val="00DF5343"/>
    <w:pPr>
      <w:keepNext/>
      <w:keepLines/>
      <w:numPr>
        <w:ilvl w:val="1"/>
        <w:numId w:val="15"/>
      </w:numPr>
      <w:spacing w:before="240" w:after="240"/>
      <w:jc w:val="both"/>
      <w:outlineLvl w:val="1"/>
    </w:pPr>
    <w:rPr>
      <w:rFonts w:ascii="Verdana" w:eastAsia="Times New Roman" w:hAnsi="Verdana" w:cs="Times New Roman"/>
      <w:b/>
      <w:bCs/>
      <w: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Colorful List - Accent 11,List Paragraph2,List Paragraph1"/>
    <w:basedOn w:val="Normal"/>
    <w:link w:val="ListParagraphChar"/>
    <w:qFormat/>
    <w:rsid w:val="003D75D5"/>
    <w:pPr>
      <w:ind w:left="720"/>
      <w:contextualSpacing/>
    </w:pPr>
  </w:style>
  <w:style w:type="paragraph" w:styleId="FootnoteText">
    <w:name w:val="footnote text"/>
    <w:aliases w:val="Footnote Text Char Char Char Char Char,Footnote Text Char Char Char Char,Footnote Text Cha,Footnote reference,FA Fu,Footnote Text Char Char Char,FA Fußnotentext,FA Fu?notentext,Footnote Text Char Char,FA Fuﬂnotentext,Ca,FA Fu?notente,C,ft"/>
    <w:basedOn w:val="Normal"/>
    <w:link w:val="FootnoteTextChar"/>
    <w:unhideWhenUsed/>
    <w:qFormat/>
    <w:rsid w:val="00E65684"/>
    <w:rPr>
      <w:rFonts w:ascii="Times New Roman" w:eastAsia="Times New Roman" w:hAnsi="Times New Roman" w:cs="Times New Roman"/>
      <w:sz w:val="20"/>
      <w:szCs w:val="20"/>
      <w:lang w:val="es-ES"/>
    </w:rPr>
  </w:style>
  <w:style w:type="character" w:customStyle="1" w:styleId="FootnoteTextChar">
    <w:name w:val="Footnote Text Char"/>
    <w:aliases w:val="Footnote Text Char Char Char Char Char Char,Footnote Text Char Char Char Char Char1,Footnote Text Cha Char,Footnote reference Char,FA Fu Char,Footnote Text Char Char Char Char1,FA Fußnotentext Char,FA Fu?notentext Char,Ca Char,C Char"/>
    <w:basedOn w:val="DefaultParagraphFont"/>
    <w:link w:val="FootnoteText"/>
    <w:rsid w:val="00E65684"/>
    <w:rPr>
      <w:rFonts w:ascii="Times New Roman" w:eastAsia="Times New Roman" w:hAnsi="Times New Roman" w:cs="Times New Roman"/>
      <w:sz w:val="20"/>
      <w:szCs w:val="20"/>
      <w:lang w:val="es-ES"/>
    </w:rPr>
  </w:style>
  <w:style w:type="character" w:styleId="FootnoteReference">
    <w:name w:val="footnote reference"/>
    <w:aliases w:val="Texto de nota al pie,Footnotes refss,Appel note de bas de page,Footnote number,referencia nota al pie,BVI fnr,f,4_G,16 Point,Superscript 6 Point,Texto nota al pie,Footnote Reference Char3,Footnote Reference Char1 Char,Ref. de nota al"/>
    <w:link w:val="4GChar"/>
    <w:uiPriority w:val="99"/>
    <w:unhideWhenUsed/>
    <w:qFormat/>
    <w:rsid w:val="00E65684"/>
    <w:rPr>
      <w:vertAlign w:val="superscript"/>
    </w:rPr>
  </w:style>
  <w:style w:type="paragraph" w:styleId="Header">
    <w:name w:val="header"/>
    <w:basedOn w:val="Normal"/>
    <w:link w:val="HeaderChar"/>
    <w:uiPriority w:val="99"/>
    <w:unhideWhenUsed/>
    <w:rsid w:val="00706094"/>
    <w:pPr>
      <w:tabs>
        <w:tab w:val="center" w:pos="4252"/>
        <w:tab w:val="right" w:pos="8504"/>
      </w:tabs>
    </w:pPr>
  </w:style>
  <w:style w:type="character" w:customStyle="1" w:styleId="HeaderChar">
    <w:name w:val="Header Char"/>
    <w:basedOn w:val="DefaultParagraphFont"/>
    <w:link w:val="Header"/>
    <w:uiPriority w:val="99"/>
    <w:rsid w:val="00706094"/>
    <w:rPr>
      <w:lang w:val="es-ES_tradnl"/>
    </w:rPr>
  </w:style>
  <w:style w:type="paragraph" w:styleId="Footer">
    <w:name w:val="footer"/>
    <w:basedOn w:val="Normal"/>
    <w:link w:val="FooterChar"/>
    <w:uiPriority w:val="99"/>
    <w:unhideWhenUsed/>
    <w:rsid w:val="00706094"/>
    <w:pPr>
      <w:tabs>
        <w:tab w:val="center" w:pos="4252"/>
        <w:tab w:val="right" w:pos="8504"/>
      </w:tabs>
    </w:pPr>
  </w:style>
  <w:style w:type="character" w:customStyle="1" w:styleId="FooterChar">
    <w:name w:val="Footer Char"/>
    <w:basedOn w:val="DefaultParagraphFont"/>
    <w:link w:val="Footer"/>
    <w:uiPriority w:val="99"/>
    <w:rsid w:val="00706094"/>
    <w:rPr>
      <w:lang w:val="es-ES_tradnl"/>
    </w:rPr>
  </w:style>
  <w:style w:type="character" w:styleId="CommentReference">
    <w:name w:val="annotation reference"/>
    <w:basedOn w:val="DefaultParagraphFont"/>
    <w:uiPriority w:val="99"/>
    <w:semiHidden/>
    <w:unhideWhenUsed/>
    <w:rsid w:val="00706094"/>
    <w:rPr>
      <w:sz w:val="18"/>
      <w:szCs w:val="18"/>
    </w:rPr>
  </w:style>
  <w:style w:type="paragraph" w:styleId="CommentText">
    <w:name w:val="annotation text"/>
    <w:basedOn w:val="Normal"/>
    <w:link w:val="CommentTextChar"/>
    <w:uiPriority w:val="99"/>
    <w:semiHidden/>
    <w:unhideWhenUsed/>
    <w:rsid w:val="00706094"/>
  </w:style>
  <w:style w:type="character" w:customStyle="1" w:styleId="CommentTextChar">
    <w:name w:val="Comment Text Char"/>
    <w:basedOn w:val="DefaultParagraphFont"/>
    <w:link w:val="CommentText"/>
    <w:uiPriority w:val="99"/>
    <w:semiHidden/>
    <w:rsid w:val="00706094"/>
    <w:rPr>
      <w:lang w:val="es-ES_tradnl"/>
    </w:rPr>
  </w:style>
  <w:style w:type="paragraph" w:styleId="CommentSubject">
    <w:name w:val="annotation subject"/>
    <w:basedOn w:val="CommentText"/>
    <w:next w:val="CommentText"/>
    <w:link w:val="CommentSubjectChar"/>
    <w:uiPriority w:val="99"/>
    <w:semiHidden/>
    <w:unhideWhenUsed/>
    <w:rsid w:val="00706094"/>
    <w:rPr>
      <w:b/>
      <w:bCs/>
      <w:sz w:val="20"/>
      <w:szCs w:val="20"/>
    </w:rPr>
  </w:style>
  <w:style w:type="character" w:customStyle="1" w:styleId="CommentSubjectChar">
    <w:name w:val="Comment Subject Char"/>
    <w:basedOn w:val="CommentTextChar"/>
    <w:link w:val="CommentSubject"/>
    <w:uiPriority w:val="99"/>
    <w:semiHidden/>
    <w:rsid w:val="00706094"/>
    <w:rPr>
      <w:b/>
      <w:bCs/>
      <w:sz w:val="20"/>
      <w:szCs w:val="20"/>
      <w:lang w:val="es-ES_tradnl"/>
    </w:rPr>
  </w:style>
  <w:style w:type="paragraph" w:styleId="BalloonText">
    <w:name w:val="Balloon Text"/>
    <w:basedOn w:val="Normal"/>
    <w:link w:val="BalloonTextChar"/>
    <w:uiPriority w:val="99"/>
    <w:semiHidden/>
    <w:unhideWhenUsed/>
    <w:rsid w:val="007060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6094"/>
    <w:rPr>
      <w:rFonts w:ascii="Lucida Grande" w:hAnsi="Lucida Grande" w:cs="Lucida Grande"/>
      <w:sz w:val="18"/>
      <w:szCs w:val="18"/>
      <w:lang w:val="es-ES_tradnl"/>
    </w:rPr>
  </w:style>
  <w:style w:type="paragraph" w:styleId="NormalWeb">
    <w:name w:val="Normal (Web)"/>
    <w:basedOn w:val="Normal"/>
    <w:uiPriority w:val="99"/>
    <w:unhideWhenUsed/>
    <w:rsid w:val="00F40DDD"/>
    <w:pPr>
      <w:spacing w:before="100" w:beforeAutospacing="1" w:after="100" w:afterAutospacing="1"/>
    </w:pPr>
    <w:rPr>
      <w:rFonts w:ascii="Times" w:hAnsi="Times" w:cs="Times New Roman"/>
      <w:sz w:val="20"/>
      <w:szCs w:val="20"/>
      <w:lang w:val="es-MX"/>
    </w:rPr>
  </w:style>
  <w:style w:type="paragraph" w:customStyle="1" w:styleId="Default">
    <w:name w:val="Default"/>
    <w:rsid w:val="003A7070"/>
    <w:pPr>
      <w:widowControl w:val="0"/>
      <w:autoSpaceDE w:val="0"/>
      <w:autoSpaceDN w:val="0"/>
      <w:adjustRightInd w:val="0"/>
    </w:pPr>
    <w:rPr>
      <w:rFonts w:ascii="Verdana" w:hAnsi="Verdana" w:cs="Verdana"/>
      <w:color w:val="000000"/>
      <w:lang w:val="es-ES"/>
    </w:rPr>
  </w:style>
  <w:style w:type="character" w:styleId="PageNumber">
    <w:name w:val="page number"/>
    <w:basedOn w:val="DefaultParagraphFont"/>
    <w:uiPriority w:val="99"/>
    <w:semiHidden/>
    <w:unhideWhenUsed/>
    <w:rsid w:val="00C4645F"/>
  </w:style>
  <w:style w:type="character" w:styleId="Hyperlink">
    <w:name w:val="Hyperlink"/>
    <w:uiPriority w:val="99"/>
    <w:rsid w:val="005F323C"/>
    <w:rPr>
      <w:color w:val="0000FF"/>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5F323C"/>
    <w:pPr>
      <w:jc w:val="both"/>
    </w:pPr>
    <w:rPr>
      <w:vertAlign w:val="superscript"/>
      <w:lang w:val="es-MX"/>
    </w:rPr>
  </w:style>
  <w:style w:type="character" w:styleId="Strong">
    <w:name w:val="Strong"/>
    <w:uiPriority w:val="22"/>
    <w:qFormat/>
    <w:rsid w:val="0064215C"/>
    <w:rPr>
      <w:b/>
      <w:bCs/>
    </w:rPr>
  </w:style>
  <w:style w:type="paragraph" w:customStyle="1" w:styleId="Estilo5">
    <w:name w:val="Estilo5"/>
    <w:basedOn w:val="ListParagraph"/>
    <w:qFormat/>
    <w:rsid w:val="0064215C"/>
    <w:pPr>
      <w:tabs>
        <w:tab w:val="num" w:pos="0"/>
      </w:tabs>
      <w:suppressAutoHyphens/>
      <w:spacing w:after="120" w:line="216" w:lineRule="auto"/>
      <w:ind w:left="0" w:right="18"/>
      <w:contextualSpacing w:val="0"/>
      <w:jc w:val="both"/>
    </w:pPr>
    <w:rPr>
      <w:rFonts w:ascii="Verdana" w:eastAsia="Calibri" w:hAnsi="Verdana" w:cs="Times New Roman"/>
      <w:spacing w:val="-2"/>
      <w:sz w:val="20"/>
      <w:szCs w:val="20"/>
      <w:lang w:val="es-MX" w:eastAsia="ar-SA"/>
    </w:rPr>
  </w:style>
  <w:style w:type="character" w:customStyle="1" w:styleId="Heading2Char">
    <w:name w:val="Heading 2 Char"/>
    <w:basedOn w:val="DefaultParagraphFont"/>
    <w:link w:val="Heading2"/>
    <w:uiPriority w:val="9"/>
    <w:rsid w:val="00DF5343"/>
    <w:rPr>
      <w:rFonts w:ascii="Verdana" w:eastAsia="Times New Roman" w:hAnsi="Verdana" w:cs="Times New Roman"/>
      <w:b/>
      <w:bCs/>
      <w:i/>
      <w:sz w:val="20"/>
      <w:szCs w:val="20"/>
      <w:lang w:val="es-ES_tradnl" w:eastAsia="en-US"/>
    </w:rPr>
  </w:style>
  <w:style w:type="paragraph" w:styleId="Title">
    <w:name w:val="Title"/>
    <w:basedOn w:val="Normal"/>
    <w:link w:val="TitleChar"/>
    <w:qFormat/>
    <w:rsid w:val="00EF64F3"/>
    <w:pPr>
      <w:jc w:val="center"/>
    </w:pPr>
    <w:rPr>
      <w:rFonts w:ascii="Verdana" w:eastAsia="Times New Roman" w:hAnsi="Verdana" w:cs="Times New Roman"/>
      <w:b/>
      <w:noProof/>
      <w:sz w:val="20"/>
      <w:szCs w:val="20"/>
      <w:lang w:eastAsia="en-US"/>
    </w:rPr>
  </w:style>
  <w:style w:type="character" w:customStyle="1" w:styleId="TtuloCar">
    <w:name w:val="Título Car"/>
    <w:basedOn w:val="DefaultParagraphFont"/>
    <w:uiPriority w:val="10"/>
    <w:rsid w:val="00EF64F3"/>
    <w:rPr>
      <w:rFonts w:asciiTheme="majorHAnsi" w:eastAsiaTheme="majorEastAsia" w:hAnsiTheme="majorHAnsi" w:cstheme="majorBidi"/>
      <w:color w:val="17365D" w:themeColor="text2" w:themeShade="BF"/>
      <w:spacing w:val="5"/>
      <w:kern w:val="28"/>
      <w:sz w:val="52"/>
      <w:szCs w:val="52"/>
      <w:lang w:val="es-ES_tradnl"/>
    </w:rPr>
  </w:style>
  <w:style w:type="character" w:customStyle="1" w:styleId="TitleChar">
    <w:name w:val="Title Char"/>
    <w:basedOn w:val="DefaultParagraphFont"/>
    <w:link w:val="Title"/>
    <w:rsid w:val="00EF64F3"/>
    <w:rPr>
      <w:rFonts w:ascii="Verdana" w:eastAsia="Times New Roman" w:hAnsi="Verdana" w:cs="Times New Roman"/>
      <w:b/>
      <w:noProof/>
      <w:sz w:val="20"/>
      <w:szCs w:val="20"/>
      <w:lang w:val="es-ES_tradnl" w:eastAsia="en-US"/>
    </w:rPr>
  </w:style>
  <w:style w:type="paragraph" w:styleId="Subtitle">
    <w:name w:val="Subtitle"/>
    <w:basedOn w:val="Normal"/>
    <w:next w:val="Normal"/>
    <w:link w:val="SubtitleChar"/>
    <w:uiPriority w:val="11"/>
    <w:qFormat/>
    <w:rsid w:val="00EF64F3"/>
    <w:pPr>
      <w:numPr>
        <w:ilvl w:val="1"/>
      </w:numPr>
      <w:jc w:val="center"/>
    </w:pPr>
    <w:rPr>
      <w:rFonts w:ascii="Verdana" w:eastAsia="Times New Roman" w:hAnsi="Verdana" w:cs="Times New Roman"/>
      <w:b/>
      <w:i/>
      <w:iCs/>
      <w:noProof/>
      <w:spacing w:val="15"/>
      <w:sz w:val="20"/>
      <w:lang w:eastAsia="en-US"/>
    </w:rPr>
  </w:style>
  <w:style w:type="character" w:customStyle="1" w:styleId="SubttuloCar">
    <w:name w:val="Subtítulo Car"/>
    <w:basedOn w:val="DefaultParagraphFont"/>
    <w:uiPriority w:val="11"/>
    <w:rsid w:val="00EF64F3"/>
    <w:rPr>
      <w:rFonts w:asciiTheme="majorHAnsi" w:eastAsiaTheme="majorEastAsia" w:hAnsiTheme="majorHAnsi" w:cstheme="majorBidi"/>
      <w:i/>
      <w:iCs/>
      <w:color w:val="4F81BD" w:themeColor="accent1"/>
      <w:spacing w:val="15"/>
      <w:lang w:val="es-ES_tradnl"/>
    </w:rPr>
  </w:style>
  <w:style w:type="character" w:customStyle="1" w:styleId="SubtitleChar">
    <w:name w:val="Subtitle Char"/>
    <w:basedOn w:val="DefaultParagraphFont"/>
    <w:link w:val="Subtitle"/>
    <w:uiPriority w:val="11"/>
    <w:rsid w:val="00EF64F3"/>
    <w:rPr>
      <w:rFonts w:ascii="Verdana" w:eastAsia="Times New Roman" w:hAnsi="Verdana" w:cs="Times New Roman"/>
      <w:b/>
      <w:i/>
      <w:iCs/>
      <w:noProof/>
      <w:spacing w:val="15"/>
      <w:sz w:val="20"/>
      <w:lang w:val="es-ES_tradnl" w:eastAsia="en-US"/>
    </w:rPr>
  </w:style>
  <w:style w:type="character" w:customStyle="1" w:styleId="ListParagraphChar">
    <w:name w:val="List Paragraph Char"/>
    <w:aliases w:val="Footnote Char,Colorful List - Accent 11 Char,List Paragraph2 Char,List Paragraph1 Char"/>
    <w:basedOn w:val="DefaultParagraphFont"/>
    <w:link w:val="ListParagraph"/>
    <w:locked/>
    <w:rsid w:val="00D17FA9"/>
    <w:rPr>
      <w:lang w:val="es-ES_tradnl"/>
    </w:rPr>
  </w:style>
  <w:style w:type="paragraph" w:customStyle="1" w:styleId="Estilo4">
    <w:name w:val="Estilo4"/>
    <w:basedOn w:val="Normal"/>
    <w:link w:val="Estilo4Car"/>
    <w:qFormat/>
    <w:rsid w:val="00D17FA9"/>
    <w:pPr>
      <w:numPr>
        <w:numId w:val="17"/>
      </w:numPr>
      <w:spacing w:after="160" w:line="259" w:lineRule="auto"/>
      <w:ind w:left="0" w:firstLine="0"/>
    </w:pPr>
    <w:rPr>
      <w:rFonts w:ascii="Times New Roman" w:eastAsiaTheme="minorHAnsi" w:hAnsi="Times New Roman" w:cs="Times New Roman"/>
      <w:lang w:val="es-UY" w:eastAsia="en-US"/>
    </w:rPr>
  </w:style>
  <w:style w:type="character" w:customStyle="1" w:styleId="Estilo4Car">
    <w:name w:val="Estilo4 Car"/>
    <w:basedOn w:val="DefaultParagraphFont"/>
    <w:link w:val="Estilo4"/>
    <w:rsid w:val="00D17FA9"/>
    <w:rPr>
      <w:rFonts w:ascii="Times New Roman" w:eastAsiaTheme="minorHAnsi" w:hAnsi="Times New Roman" w:cs="Times New Roman"/>
      <w:lang w:val="es-UY" w:eastAsia="en-US"/>
    </w:rPr>
  </w:style>
  <w:style w:type="paragraph" w:customStyle="1" w:styleId="style11">
    <w:name w:val="style11"/>
    <w:basedOn w:val="Normal"/>
    <w:rsid w:val="00D17FA9"/>
    <w:pPr>
      <w:spacing w:before="192" w:after="192"/>
      <w:ind w:left="120" w:right="144"/>
      <w:jc w:val="both"/>
    </w:pPr>
    <w:rPr>
      <w:rFonts w:ascii="Times New Roman" w:eastAsia="Times New Roman" w:hAnsi="Times New Roman" w:cs="Times New Roman"/>
      <w:lang w:val="es-CR" w:eastAsia="es-CR"/>
    </w:rPr>
  </w:style>
  <w:style w:type="paragraph" w:customStyle="1" w:styleId="PrrafodeSentencia">
    <w:name w:val="*. Párrafo de Sentencia"/>
    <w:basedOn w:val="Normal"/>
    <w:link w:val="PrrafodeSentenciaChar"/>
    <w:qFormat/>
    <w:rsid w:val="00454C7F"/>
    <w:pPr>
      <w:numPr>
        <w:numId w:val="20"/>
      </w:numPr>
      <w:tabs>
        <w:tab w:val="left" w:pos="567"/>
      </w:tabs>
      <w:jc w:val="both"/>
    </w:pPr>
    <w:rPr>
      <w:rFonts w:ascii="Verdana" w:eastAsia="Batang" w:hAnsi="Verdana" w:cs="Times New Roman"/>
      <w:sz w:val="20"/>
      <w:szCs w:val="20"/>
      <w:lang w:eastAsia="es-MX"/>
    </w:rPr>
  </w:style>
  <w:style w:type="character" w:customStyle="1" w:styleId="PrrafodeSentenciaChar">
    <w:name w:val="*. Párrafo de Sentencia Char"/>
    <w:link w:val="PrrafodeSentencia"/>
    <w:rsid w:val="00454C7F"/>
    <w:rPr>
      <w:rFonts w:ascii="Verdana" w:eastAsia="Batang" w:hAnsi="Verdana" w:cs="Times New Roman"/>
      <w:sz w:val="20"/>
      <w:szCs w:val="20"/>
      <w:lang w:val="es-ES_tradnl" w:eastAsia="es-MX"/>
    </w:rPr>
  </w:style>
  <w:style w:type="character" w:styleId="FollowedHyperlink">
    <w:name w:val="FollowedHyperlink"/>
    <w:basedOn w:val="DefaultParagraphFont"/>
    <w:uiPriority w:val="99"/>
    <w:semiHidden/>
    <w:unhideWhenUsed/>
    <w:rsid w:val="0083334B"/>
    <w:rPr>
      <w:color w:val="800080" w:themeColor="followedHyperlink"/>
      <w:u w:val="single"/>
    </w:rPr>
  </w:style>
  <w:style w:type="paragraph" w:styleId="EndnoteText">
    <w:name w:val="endnote text"/>
    <w:basedOn w:val="Normal"/>
    <w:link w:val="EndnoteTextChar"/>
    <w:uiPriority w:val="99"/>
    <w:unhideWhenUsed/>
    <w:rsid w:val="008D7E1E"/>
  </w:style>
  <w:style w:type="character" w:customStyle="1" w:styleId="EndnoteTextChar">
    <w:name w:val="Endnote Text Char"/>
    <w:basedOn w:val="DefaultParagraphFont"/>
    <w:link w:val="EndnoteText"/>
    <w:uiPriority w:val="99"/>
    <w:rsid w:val="008D7E1E"/>
    <w:rPr>
      <w:lang w:val="es-ES_tradnl"/>
    </w:rPr>
  </w:style>
  <w:style w:type="character" w:styleId="EndnoteReference">
    <w:name w:val="endnote reference"/>
    <w:basedOn w:val="DefaultParagraphFont"/>
    <w:uiPriority w:val="99"/>
    <w:unhideWhenUsed/>
    <w:rsid w:val="008D7E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4269">
      <w:bodyDiv w:val="1"/>
      <w:marLeft w:val="0"/>
      <w:marRight w:val="0"/>
      <w:marTop w:val="0"/>
      <w:marBottom w:val="0"/>
      <w:divBdr>
        <w:top w:val="none" w:sz="0" w:space="0" w:color="auto"/>
        <w:left w:val="none" w:sz="0" w:space="0" w:color="auto"/>
        <w:bottom w:val="none" w:sz="0" w:space="0" w:color="auto"/>
        <w:right w:val="none" w:sz="0" w:space="0" w:color="auto"/>
      </w:divBdr>
      <w:divsChild>
        <w:div w:id="758253789">
          <w:marLeft w:val="0"/>
          <w:marRight w:val="0"/>
          <w:marTop w:val="0"/>
          <w:marBottom w:val="0"/>
          <w:divBdr>
            <w:top w:val="none" w:sz="0" w:space="0" w:color="auto"/>
            <w:left w:val="none" w:sz="0" w:space="0" w:color="auto"/>
            <w:bottom w:val="none" w:sz="0" w:space="0" w:color="auto"/>
            <w:right w:val="none" w:sz="0" w:space="0" w:color="auto"/>
          </w:divBdr>
          <w:divsChild>
            <w:div w:id="2025746207">
              <w:marLeft w:val="0"/>
              <w:marRight w:val="0"/>
              <w:marTop w:val="0"/>
              <w:marBottom w:val="0"/>
              <w:divBdr>
                <w:top w:val="none" w:sz="0" w:space="0" w:color="auto"/>
                <w:left w:val="none" w:sz="0" w:space="0" w:color="auto"/>
                <w:bottom w:val="none" w:sz="0" w:space="0" w:color="auto"/>
                <w:right w:val="none" w:sz="0" w:space="0" w:color="auto"/>
              </w:divBdr>
              <w:divsChild>
                <w:div w:id="11719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7381">
      <w:bodyDiv w:val="1"/>
      <w:marLeft w:val="0"/>
      <w:marRight w:val="0"/>
      <w:marTop w:val="0"/>
      <w:marBottom w:val="0"/>
      <w:divBdr>
        <w:top w:val="none" w:sz="0" w:space="0" w:color="auto"/>
        <w:left w:val="none" w:sz="0" w:space="0" w:color="auto"/>
        <w:bottom w:val="none" w:sz="0" w:space="0" w:color="auto"/>
        <w:right w:val="none" w:sz="0" w:space="0" w:color="auto"/>
      </w:divBdr>
      <w:divsChild>
        <w:div w:id="927154464">
          <w:marLeft w:val="0"/>
          <w:marRight w:val="0"/>
          <w:marTop w:val="0"/>
          <w:marBottom w:val="0"/>
          <w:divBdr>
            <w:top w:val="none" w:sz="0" w:space="0" w:color="auto"/>
            <w:left w:val="none" w:sz="0" w:space="0" w:color="auto"/>
            <w:bottom w:val="none" w:sz="0" w:space="0" w:color="auto"/>
            <w:right w:val="none" w:sz="0" w:space="0" w:color="auto"/>
          </w:divBdr>
          <w:divsChild>
            <w:div w:id="2069257260">
              <w:marLeft w:val="0"/>
              <w:marRight w:val="0"/>
              <w:marTop w:val="0"/>
              <w:marBottom w:val="0"/>
              <w:divBdr>
                <w:top w:val="none" w:sz="0" w:space="0" w:color="auto"/>
                <w:left w:val="none" w:sz="0" w:space="0" w:color="auto"/>
                <w:bottom w:val="none" w:sz="0" w:space="0" w:color="auto"/>
                <w:right w:val="none" w:sz="0" w:space="0" w:color="auto"/>
              </w:divBdr>
              <w:divsChild>
                <w:div w:id="13250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5749">
      <w:bodyDiv w:val="1"/>
      <w:marLeft w:val="0"/>
      <w:marRight w:val="0"/>
      <w:marTop w:val="0"/>
      <w:marBottom w:val="0"/>
      <w:divBdr>
        <w:top w:val="none" w:sz="0" w:space="0" w:color="auto"/>
        <w:left w:val="none" w:sz="0" w:space="0" w:color="auto"/>
        <w:bottom w:val="none" w:sz="0" w:space="0" w:color="auto"/>
        <w:right w:val="none" w:sz="0" w:space="0" w:color="auto"/>
      </w:divBdr>
      <w:divsChild>
        <w:div w:id="370303730">
          <w:marLeft w:val="0"/>
          <w:marRight w:val="0"/>
          <w:marTop w:val="0"/>
          <w:marBottom w:val="0"/>
          <w:divBdr>
            <w:top w:val="none" w:sz="0" w:space="0" w:color="auto"/>
            <w:left w:val="none" w:sz="0" w:space="0" w:color="auto"/>
            <w:bottom w:val="none" w:sz="0" w:space="0" w:color="auto"/>
            <w:right w:val="none" w:sz="0" w:space="0" w:color="auto"/>
          </w:divBdr>
          <w:divsChild>
            <w:div w:id="1194003854">
              <w:marLeft w:val="0"/>
              <w:marRight w:val="0"/>
              <w:marTop w:val="0"/>
              <w:marBottom w:val="0"/>
              <w:divBdr>
                <w:top w:val="none" w:sz="0" w:space="0" w:color="auto"/>
                <w:left w:val="none" w:sz="0" w:space="0" w:color="auto"/>
                <w:bottom w:val="none" w:sz="0" w:space="0" w:color="auto"/>
                <w:right w:val="none" w:sz="0" w:space="0" w:color="auto"/>
              </w:divBdr>
              <w:divsChild>
                <w:div w:id="1882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1081">
      <w:bodyDiv w:val="1"/>
      <w:marLeft w:val="0"/>
      <w:marRight w:val="0"/>
      <w:marTop w:val="0"/>
      <w:marBottom w:val="0"/>
      <w:divBdr>
        <w:top w:val="none" w:sz="0" w:space="0" w:color="auto"/>
        <w:left w:val="none" w:sz="0" w:space="0" w:color="auto"/>
        <w:bottom w:val="none" w:sz="0" w:space="0" w:color="auto"/>
        <w:right w:val="none" w:sz="0" w:space="0" w:color="auto"/>
      </w:divBdr>
      <w:divsChild>
        <w:div w:id="555580812">
          <w:marLeft w:val="0"/>
          <w:marRight w:val="0"/>
          <w:marTop w:val="0"/>
          <w:marBottom w:val="0"/>
          <w:divBdr>
            <w:top w:val="none" w:sz="0" w:space="0" w:color="auto"/>
            <w:left w:val="none" w:sz="0" w:space="0" w:color="auto"/>
            <w:bottom w:val="none" w:sz="0" w:space="0" w:color="auto"/>
            <w:right w:val="none" w:sz="0" w:space="0" w:color="auto"/>
          </w:divBdr>
          <w:divsChild>
            <w:div w:id="456219805">
              <w:marLeft w:val="0"/>
              <w:marRight w:val="0"/>
              <w:marTop w:val="0"/>
              <w:marBottom w:val="0"/>
              <w:divBdr>
                <w:top w:val="none" w:sz="0" w:space="0" w:color="auto"/>
                <w:left w:val="none" w:sz="0" w:space="0" w:color="auto"/>
                <w:bottom w:val="none" w:sz="0" w:space="0" w:color="auto"/>
                <w:right w:val="none" w:sz="0" w:space="0" w:color="auto"/>
              </w:divBdr>
              <w:divsChild>
                <w:div w:id="13128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305">
      <w:bodyDiv w:val="1"/>
      <w:marLeft w:val="0"/>
      <w:marRight w:val="0"/>
      <w:marTop w:val="0"/>
      <w:marBottom w:val="0"/>
      <w:divBdr>
        <w:top w:val="none" w:sz="0" w:space="0" w:color="auto"/>
        <w:left w:val="none" w:sz="0" w:space="0" w:color="auto"/>
        <w:bottom w:val="none" w:sz="0" w:space="0" w:color="auto"/>
        <w:right w:val="none" w:sz="0" w:space="0" w:color="auto"/>
      </w:divBdr>
      <w:divsChild>
        <w:div w:id="1289969697">
          <w:marLeft w:val="0"/>
          <w:marRight w:val="0"/>
          <w:marTop w:val="0"/>
          <w:marBottom w:val="0"/>
          <w:divBdr>
            <w:top w:val="none" w:sz="0" w:space="0" w:color="auto"/>
            <w:left w:val="none" w:sz="0" w:space="0" w:color="auto"/>
            <w:bottom w:val="none" w:sz="0" w:space="0" w:color="auto"/>
            <w:right w:val="none" w:sz="0" w:space="0" w:color="auto"/>
          </w:divBdr>
          <w:divsChild>
            <w:div w:id="1795443753">
              <w:marLeft w:val="0"/>
              <w:marRight w:val="0"/>
              <w:marTop w:val="0"/>
              <w:marBottom w:val="0"/>
              <w:divBdr>
                <w:top w:val="none" w:sz="0" w:space="0" w:color="auto"/>
                <w:left w:val="none" w:sz="0" w:space="0" w:color="auto"/>
                <w:bottom w:val="none" w:sz="0" w:space="0" w:color="auto"/>
                <w:right w:val="none" w:sz="0" w:space="0" w:color="auto"/>
              </w:divBdr>
              <w:divsChild>
                <w:div w:id="21230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682">
      <w:bodyDiv w:val="1"/>
      <w:marLeft w:val="0"/>
      <w:marRight w:val="0"/>
      <w:marTop w:val="0"/>
      <w:marBottom w:val="0"/>
      <w:divBdr>
        <w:top w:val="none" w:sz="0" w:space="0" w:color="auto"/>
        <w:left w:val="none" w:sz="0" w:space="0" w:color="auto"/>
        <w:bottom w:val="none" w:sz="0" w:space="0" w:color="auto"/>
        <w:right w:val="none" w:sz="0" w:space="0" w:color="auto"/>
      </w:divBdr>
      <w:divsChild>
        <w:div w:id="489565651">
          <w:marLeft w:val="0"/>
          <w:marRight w:val="0"/>
          <w:marTop w:val="0"/>
          <w:marBottom w:val="0"/>
          <w:divBdr>
            <w:top w:val="none" w:sz="0" w:space="0" w:color="auto"/>
            <w:left w:val="none" w:sz="0" w:space="0" w:color="auto"/>
            <w:bottom w:val="none" w:sz="0" w:space="0" w:color="auto"/>
            <w:right w:val="none" w:sz="0" w:space="0" w:color="auto"/>
          </w:divBdr>
          <w:divsChild>
            <w:div w:id="1844585115">
              <w:marLeft w:val="0"/>
              <w:marRight w:val="0"/>
              <w:marTop w:val="0"/>
              <w:marBottom w:val="0"/>
              <w:divBdr>
                <w:top w:val="none" w:sz="0" w:space="0" w:color="auto"/>
                <w:left w:val="none" w:sz="0" w:space="0" w:color="auto"/>
                <w:bottom w:val="none" w:sz="0" w:space="0" w:color="auto"/>
                <w:right w:val="none" w:sz="0" w:space="0" w:color="auto"/>
              </w:divBdr>
              <w:divsChild>
                <w:div w:id="1601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1773">
      <w:bodyDiv w:val="1"/>
      <w:marLeft w:val="0"/>
      <w:marRight w:val="0"/>
      <w:marTop w:val="0"/>
      <w:marBottom w:val="0"/>
      <w:divBdr>
        <w:top w:val="none" w:sz="0" w:space="0" w:color="auto"/>
        <w:left w:val="none" w:sz="0" w:space="0" w:color="auto"/>
        <w:bottom w:val="none" w:sz="0" w:space="0" w:color="auto"/>
        <w:right w:val="none" w:sz="0" w:space="0" w:color="auto"/>
      </w:divBdr>
      <w:divsChild>
        <w:div w:id="898324643">
          <w:marLeft w:val="0"/>
          <w:marRight w:val="0"/>
          <w:marTop w:val="0"/>
          <w:marBottom w:val="0"/>
          <w:divBdr>
            <w:top w:val="none" w:sz="0" w:space="0" w:color="auto"/>
            <w:left w:val="none" w:sz="0" w:space="0" w:color="auto"/>
            <w:bottom w:val="none" w:sz="0" w:space="0" w:color="auto"/>
            <w:right w:val="none" w:sz="0" w:space="0" w:color="auto"/>
          </w:divBdr>
          <w:divsChild>
            <w:div w:id="655110993">
              <w:marLeft w:val="0"/>
              <w:marRight w:val="0"/>
              <w:marTop w:val="0"/>
              <w:marBottom w:val="0"/>
              <w:divBdr>
                <w:top w:val="none" w:sz="0" w:space="0" w:color="auto"/>
                <w:left w:val="none" w:sz="0" w:space="0" w:color="auto"/>
                <w:bottom w:val="none" w:sz="0" w:space="0" w:color="auto"/>
                <w:right w:val="none" w:sz="0" w:space="0" w:color="auto"/>
              </w:divBdr>
              <w:divsChild>
                <w:div w:id="10346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2778">
      <w:bodyDiv w:val="1"/>
      <w:marLeft w:val="0"/>
      <w:marRight w:val="0"/>
      <w:marTop w:val="0"/>
      <w:marBottom w:val="0"/>
      <w:divBdr>
        <w:top w:val="none" w:sz="0" w:space="0" w:color="auto"/>
        <w:left w:val="none" w:sz="0" w:space="0" w:color="auto"/>
        <w:bottom w:val="none" w:sz="0" w:space="0" w:color="auto"/>
        <w:right w:val="none" w:sz="0" w:space="0" w:color="auto"/>
      </w:divBdr>
      <w:divsChild>
        <w:div w:id="1497306284">
          <w:marLeft w:val="0"/>
          <w:marRight w:val="0"/>
          <w:marTop w:val="0"/>
          <w:marBottom w:val="0"/>
          <w:divBdr>
            <w:top w:val="none" w:sz="0" w:space="0" w:color="auto"/>
            <w:left w:val="none" w:sz="0" w:space="0" w:color="auto"/>
            <w:bottom w:val="none" w:sz="0" w:space="0" w:color="auto"/>
            <w:right w:val="none" w:sz="0" w:space="0" w:color="auto"/>
          </w:divBdr>
          <w:divsChild>
            <w:div w:id="292103476">
              <w:marLeft w:val="0"/>
              <w:marRight w:val="0"/>
              <w:marTop w:val="0"/>
              <w:marBottom w:val="0"/>
              <w:divBdr>
                <w:top w:val="none" w:sz="0" w:space="0" w:color="auto"/>
                <w:left w:val="none" w:sz="0" w:space="0" w:color="auto"/>
                <w:bottom w:val="none" w:sz="0" w:space="0" w:color="auto"/>
                <w:right w:val="none" w:sz="0" w:space="0" w:color="auto"/>
              </w:divBdr>
              <w:divsChild>
                <w:div w:id="17432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13558">
      <w:bodyDiv w:val="1"/>
      <w:marLeft w:val="0"/>
      <w:marRight w:val="0"/>
      <w:marTop w:val="0"/>
      <w:marBottom w:val="0"/>
      <w:divBdr>
        <w:top w:val="none" w:sz="0" w:space="0" w:color="auto"/>
        <w:left w:val="none" w:sz="0" w:space="0" w:color="auto"/>
        <w:bottom w:val="none" w:sz="0" w:space="0" w:color="auto"/>
        <w:right w:val="none" w:sz="0" w:space="0" w:color="auto"/>
      </w:divBdr>
      <w:divsChild>
        <w:div w:id="141388812">
          <w:marLeft w:val="0"/>
          <w:marRight w:val="0"/>
          <w:marTop w:val="0"/>
          <w:marBottom w:val="0"/>
          <w:divBdr>
            <w:top w:val="none" w:sz="0" w:space="0" w:color="auto"/>
            <w:left w:val="none" w:sz="0" w:space="0" w:color="auto"/>
            <w:bottom w:val="none" w:sz="0" w:space="0" w:color="auto"/>
            <w:right w:val="none" w:sz="0" w:space="0" w:color="auto"/>
          </w:divBdr>
          <w:divsChild>
            <w:div w:id="158692170">
              <w:marLeft w:val="0"/>
              <w:marRight w:val="0"/>
              <w:marTop w:val="0"/>
              <w:marBottom w:val="0"/>
              <w:divBdr>
                <w:top w:val="none" w:sz="0" w:space="0" w:color="auto"/>
                <w:left w:val="none" w:sz="0" w:space="0" w:color="auto"/>
                <w:bottom w:val="none" w:sz="0" w:space="0" w:color="auto"/>
                <w:right w:val="none" w:sz="0" w:space="0" w:color="auto"/>
              </w:divBdr>
              <w:divsChild>
                <w:div w:id="17305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9775">
      <w:bodyDiv w:val="1"/>
      <w:marLeft w:val="0"/>
      <w:marRight w:val="0"/>
      <w:marTop w:val="0"/>
      <w:marBottom w:val="0"/>
      <w:divBdr>
        <w:top w:val="none" w:sz="0" w:space="0" w:color="auto"/>
        <w:left w:val="none" w:sz="0" w:space="0" w:color="auto"/>
        <w:bottom w:val="none" w:sz="0" w:space="0" w:color="auto"/>
        <w:right w:val="none" w:sz="0" w:space="0" w:color="auto"/>
      </w:divBdr>
      <w:divsChild>
        <w:div w:id="1011445595">
          <w:marLeft w:val="0"/>
          <w:marRight w:val="0"/>
          <w:marTop w:val="0"/>
          <w:marBottom w:val="0"/>
          <w:divBdr>
            <w:top w:val="none" w:sz="0" w:space="0" w:color="auto"/>
            <w:left w:val="none" w:sz="0" w:space="0" w:color="auto"/>
            <w:bottom w:val="none" w:sz="0" w:space="0" w:color="auto"/>
            <w:right w:val="none" w:sz="0" w:space="0" w:color="auto"/>
          </w:divBdr>
          <w:divsChild>
            <w:div w:id="1968733661">
              <w:marLeft w:val="0"/>
              <w:marRight w:val="0"/>
              <w:marTop w:val="0"/>
              <w:marBottom w:val="0"/>
              <w:divBdr>
                <w:top w:val="none" w:sz="0" w:space="0" w:color="auto"/>
                <w:left w:val="none" w:sz="0" w:space="0" w:color="auto"/>
                <w:bottom w:val="none" w:sz="0" w:space="0" w:color="auto"/>
                <w:right w:val="none" w:sz="0" w:space="0" w:color="auto"/>
              </w:divBdr>
              <w:divsChild>
                <w:div w:id="4362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09738">
      <w:bodyDiv w:val="1"/>
      <w:marLeft w:val="0"/>
      <w:marRight w:val="0"/>
      <w:marTop w:val="0"/>
      <w:marBottom w:val="0"/>
      <w:divBdr>
        <w:top w:val="none" w:sz="0" w:space="0" w:color="auto"/>
        <w:left w:val="none" w:sz="0" w:space="0" w:color="auto"/>
        <w:bottom w:val="none" w:sz="0" w:space="0" w:color="auto"/>
        <w:right w:val="none" w:sz="0" w:space="0" w:color="auto"/>
      </w:divBdr>
      <w:divsChild>
        <w:div w:id="931859768">
          <w:marLeft w:val="0"/>
          <w:marRight w:val="0"/>
          <w:marTop w:val="0"/>
          <w:marBottom w:val="0"/>
          <w:divBdr>
            <w:top w:val="none" w:sz="0" w:space="0" w:color="auto"/>
            <w:left w:val="none" w:sz="0" w:space="0" w:color="auto"/>
            <w:bottom w:val="none" w:sz="0" w:space="0" w:color="auto"/>
            <w:right w:val="none" w:sz="0" w:space="0" w:color="auto"/>
          </w:divBdr>
          <w:divsChild>
            <w:div w:id="855387487">
              <w:marLeft w:val="0"/>
              <w:marRight w:val="0"/>
              <w:marTop w:val="0"/>
              <w:marBottom w:val="0"/>
              <w:divBdr>
                <w:top w:val="none" w:sz="0" w:space="0" w:color="auto"/>
                <w:left w:val="none" w:sz="0" w:space="0" w:color="auto"/>
                <w:bottom w:val="none" w:sz="0" w:space="0" w:color="auto"/>
                <w:right w:val="none" w:sz="0" w:space="0" w:color="auto"/>
              </w:divBdr>
              <w:divsChild>
                <w:div w:id="19452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7651">
      <w:bodyDiv w:val="1"/>
      <w:marLeft w:val="0"/>
      <w:marRight w:val="0"/>
      <w:marTop w:val="0"/>
      <w:marBottom w:val="0"/>
      <w:divBdr>
        <w:top w:val="none" w:sz="0" w:space="0" w:color="auto"/>
        <w:left w:val="none" w:sz="0" w:space="0" w:color="auto"/>
        <w:bottom w:val="none" w:sz="0" w:space="0" w:color="auto"/>
        <w:right w:val="none" w:sz="0" w:space="0" w:color="auto"/>
      </w:divBdr>
      <w:divsChild>
        <w:div w:id="382367123">
          <w:marLeft w:val="0"/>
          <w:marRight w:val="0"/>
          <w:marTop w:val="0"/>
          <w:marBottom w:val="0"/>
          <w:divBdr>
            <w:top w:val="none" w:sz="0" w:space="0" w:color="auto"/>
            <w:left w:val="none" w:sz="0" w:space="0" w:color="auto"/>
            <w:bottom w:val="none" w:sz="0" w:space="0" w:color="auto"/>
            <w:right w:val="none" w:sz="0" w:space="0" w:color="auto"/>
          </w:divBdr>
          <w:divsChild>
            <w:div w:id="131020708">
              <w:marLeft w:val="0"/>
              <w:marRight w:val="0"/>
              <w:marTop w:val="0"/>
              <w:marBottom w:val="0"/>
              <w:divBdr>
                <w:top w:val="none" w:sz="0" w:space="0" w:color="auto"/>
                <w:left w:val="none" w:sz="0" w:space="0" w:color="auto"/>
                <w:bottom w:val="none" w:sz="0" w:space="0" w:color="auto"/>
                <w:right w:val="none" w:sz="0" w:space="0" w:color="auto"/>
              </w:divBdr>
              <w:divsChild>
                <w:div w:id="9614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30570">
      <w:bodyDiv w:val="1"/>
      <w:marLeft w:val="0"/>
      <w:marRight w:val="0"/>
      <w:marTop w:val="0"/>
      <w:marBottom w:val="0"/>
      <w:divBdr>
        <w:top w:val="none" w:sz="0" w:space="0" w:color="auto"/>
        <w:left w:val="none" w:sz="0" w:space="0" w:color="auto"/>
        <w:bottom w:val="none" w:sz="0" w:space="0" w:color="auto"/>
        <w:right w:val="none" w:sz="0" w:space="0" w:color="auto"/>
      </w:divBdr>
      <w:divsChild>
        <w:div w:id="442531707">
          <w:marLeft w:val="0"/>
          <w:marRight w:val="0"/>
          <w:marTop w:val="0"/>
          <w:marBottom w:val="0"/>
          <w:divBdr>
            <w:top w:val="none" w:sz="0" w:space="0" w:color="auto"/>
            <w:left w:val="none" w:sz="0" w:space="0" w:color="auto"/>
            <w:bottom w:val="none" w:sz="0" w:space="0" w:color="auto"/>
            <w:right w:val="none" w:sz="0" w:space="0" w:color="auto"/>
          </w:divBdr>
          <w:divsChild>
            <w:div w:id="407581226">
              <w:marLeft w:val="0"/>
              <w:marRight w:val="0"/>
              <w:marTop w:val="0"/>
              <w:marBottom w:val="0"/>
              <w:divBdr>
                <w:top w:val="none" w:sz="0" w:space="0" w:color="auto"/>
                <w:left w:val="none" w:sz="0" w:space="0" w:color="auto"/>
                <w:bottom w:val="none" w:sz="0" w:space="0" w:color="auto"/>
                <w:right w:val="none" w:sz="0" w:space="0" w:color="auto"/>
              </w:divBdr>
              <w:divsChild>
                <w:div w:id="43995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5138">
      <w:bodyDiv w:val="1"/>
      <w:marLeft w:val="0"/>
      <w:marRight w:val="0"/>
      <w:marTop w:val="0"/>
      <w:marBottom w:val="0"/>
      <w:divBdr>
        <w:top w:val="none" w:sz="0" w:space="0" w:color="auto"/>
        <w:left w:val="none" w:sz="0" w:space="0" w:color="auto"/>
        <w:bottom w:val="none" w:sz="0" w:space="0" w:color="auto"/>
        <w:right w:val="none" w:sz="0" w:space="0" w:color="auto"/>
      </w:divBdr>
      <w:divsChild>
        <w:div w:id="1931966347">
          <w:marLeft w:val="0"/>
          <w:marRight w:val="0"/>
          <w:marTop w:val="0"/>
          <w:marBottom w:val="0"/>
          <w:divBdr>
            <w:top w:val="none" w:sz="0" w:space="0" w:color="auto"/>
            <w:left w:val="none" w:sz="0" w:space="0" w:color="auto"/>
            <w:bottom w:val="none" w:sz="0" w:space="0" w:color="auto"/>
            <w:right w:val="none" w:sz="0" w:space="0" w:color="auto"/>
          </w:divBdr>
          <w:divsChild>
            <w:div w:id="1448350107">
              <w:marLeft w:val="0"/>
              <w:marRight w:val="0"/>
              <w:marTop w:val="0"/>
              <w:marBottom w:val="0"/>
              <w:divBdr>
                <w:top w:val="none" w:sz="0" w:space="0" w:color="auto"/>
                <w:left w:val="none" w:sz="0" w:space="0" w:color="auto"/>
                <w:bottom w:val="none" w:sz="0" w:space="0" w:color="auto"/>
                <w:right w:val="none" w:sz="0" w:space="0" w:color="auto"/>
              </w:divBdr>
              <w:divsChild>
                <w:div w:id="69503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28045">
      <w:bodyDiv w:val="1"/>
      <w:marLeft w:val="0"/>
      <w:marRight w:val="0"/>
      <w:marTop w:val="0"/>
      <w:marBottom w:val="0"/>
      <w:divBdr>
        <w:top w:val="none" w:sz="0" w:space="0" w:color="auto"/>
        <w:left w:val="none" w:sz="0" w:space="0" w:color="auto"/>
        <w:bottom w:val="none" w:sz="0" w:space="0" w:color="auto"/>
        <w:right w:val="none" w:sz="0" w:space="0" w:color="auto"/>
      </w:divBdr>
      <w:divsChild>
        <w:div w:id="1606226877">
          <w:marLeft w:val="0"/>
          <w:marRight w:val="0"/>
          <w:marTop w:val="0"/>
          <w:marBottom w:val="0"/>
          <w:divBdr>
            <w:top w:val="none" w:sz="0" w:space="0" w:color="auto"/>
            <w:left w:val="none" w:sz="0" w:space="0" w:color="auto"/>
            <w:bottom w:val="none" w:sz="0" w:space="0" w:color="auto"/>
            <w:right w:val="none" w:sz="0" w:space="0" w:color="auto"/>
          </w:divBdr>
          <w:divsChild>
            <w:div w:id="934049449">
              <w:marLeft w:val="0"/>
              <w:marRight w:val="0"/>
              <w:marTop w:val="0"/>
              <w:marBottom w:val="0"/>
              <w:divBdr>
                <w:top w:val="none" w:sz="0" w:space="0" w:color="auto"/>
                <w:left w:val="none" w:sz="0" w:space="0" w:color="auto"/>
                <w:bottom w:val="none" w:sz="0" w:space="0" w:color="auto"/>
                <w:right w:val="none" w:sz="0" w:space="0" w:color="auto"/>
              </w:divBdr>
              <w:divsChild>
                <w:div w:id="1615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6378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33">
          <w:marLeft w:val="0"/>
          <w:marRight w:val="0"/>
          <w:marTop w:val="0"/>
          <w:marBottom w:val="0"/>
          <w:divBdr>
            <w:top w:val="none" w:sz="0" w:space="0" w:color="auto"/>
            <w:left w:val="none" w:sz="0" w:space="0" w:color="auto"/>
            <w:bottom w:val="none" w:sz="0" w:space="0" w:color="auto"/>
            <w:right w:val="none" w:sz="0" w:space="0" w:color="auto"/>
          </w:divBdr>
          <w:divsChild>
            <w:div w:id="596328972">
              <w:marLeft w:val="0"/>
              <w:marRight w:val="0"/>
              <w:marTop w:val="0"/>
              <w:marBottom w:val="0"/>
              <w:divBdr>
                <w:top w:val="none" w:sz="0" w:space="0" w:color="auto"/>
                <w:left w:val="none" w:sz="0" w:space="0" w:color="auto"/>
                <w:bottom w:val="none" w:sz="0" w:space="0" w:color="auto"/>
                <w:right w:val="none" w:sz="0" w:space="0" w:color="auto"/>
              </w:divBdr>
              <w:divsChild>
                <w:div w:id="7044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4289">
      <w:bodyDiv w:val="1"/>
      <w:marLeft w:val="0"/>
      <w:marRight w:val="0"/>
      <w:marTop w:val="0"/>
      <w:marBottom w:val="0"/>
      <w:divBdr>
        <w:top w:val="none" w:sz="0" w:space="0" w:color="auto"/>
        <w:left w:val="none" w:sz="0" w:space="0" w:color="auto"/>
        <w:bottom w:val="none" w:sz="0" w:space="0" w:color="auto"/>
        <w:right w:val="none" w:sz="0" w:space="0" w:color="auto"/>
      </w:divBdr>
      <w:divsChild>
        <w:div w:id="165445006">
          <w:marLeft w:val="0"/>
          <w:marRight w:val="0"/>
          <w:marTop w:val="0"/>
          <w:marBottom w:val="0"/>
          <w:divBdr>
            <w:top w:val="none" w:sz="0" w:space="0" w:color="auto"/>
            <w:left w:val="none" w:sz="0" w:space="0" w:color="auto"/>
            <w:bottom w:val="none" w:sz="0" w:space="0" w:color="auto"/>
            <w:right w:val="none" w:sz="0" w:space="0" w:color="auto"/>
          </w:divBdr>
          <w:divsChild>
            <w:div w:id="1589968909">
              <w:marLeft w:val="0"/>
              <w:marRight w:val="0"/>
              <w:marTop w:val="0"/>
              <w:marBottom w:val="0"/>
              <w:divBdr>
                <w:top w:val="none" w:sz="0" w:space="0" w:color="auto"/>
                <w:left w:val="none" w:sz="0" w:space="0" w:color="auto"/>
                <w:bottom w:val="none" w:sz="0" w:space="0" w:color="auto"/>
                <w:right w:val="none" w:sz="0" w:space="0" w:color="auto"/>
              </w:divBdr>
              <w:divsChild>
                <w:div w:id="13501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87299">
      <w:bodyDiv w:val="1"/>
      <w:marLeft w:val="0"/>
      <w:marRight w:val="0"/>
      <w:marTop w:val="0"/>
      <w:marBottom w:val="0"/>
      <w:divBdr>
        <w:top w:val="none" w:sz="0" w:space="0" w:color="auto"/>
        <w:left w:val="none" w:sz="0" w:space="0" w:color="auto"/>
        <w:bottom w:val="none" w:sz="0" w:space="0" w:color="auto"/>
        <w:right w:val="none" w:sz="0" w:space="0" w:color="auto"/>
      </w:divBdr>
      <w:divsChild>
        <w:div w:id="1141582496">
          <w:marLeft w:val="0"/>
          <w:marRight w:val="0"/>
          <w:marTop w:val="0"/>
          <w:marBottom w:val="0"/>
          <w:divBdr>
            <w:top w:val="none" w:sz="0" w:space="0" w:color="auto"/>
            <w:left w:val="none" w:sz="0" w:space="0" w:color="auto"/>
            <w:bottom w:val="none" w:sz="0" w:space="0" w:color="auto"/>
            <w:right w:val="none" w:sz="0" w:space="0" w:color="auto"/>
          </w:divBdr>
          <w:divsChild>
            <w:div w:id="648751739">
              <w:marLeft w:val="0"/>
              <w:marRight w:val="0"/>
              <w:marTop w:val="0"/>
              <w:marBottom w:val="0"/>
              <w:divBdr>
                <w:top w:val="none" w:sz="0" w:space="0" w:color="auto"/>
                <w:left w:val="none" w:sz="0" w:space="0" w:color="auto"/>
                <w:bottom w:val="none" w:sz="0" w:space="0" w:color="auto"/>
                <w:right w:val="none" w:sz="0" w:space="0" w:color="auto"/>
              </w:divBdr>
              <w:divsChild>
                <w:div w:id="4475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47873">
      <w:bodyDiv w:val="1"/>
      <w:marLeft w:val="0"/>
      <w:marRight w:val="0"/>
      <w:marTop w:val="0"/>
      <w:marBottom w:val="0"/>
      <w:divBdr>
        <w:top w:val="none" w:sz="0" w:space="0" w:color="auto"/>
        <w:left w:val="none" w:sz="0" w:space="0" w:color="auto"/>
        <w:bottom w:val="none" w:sz="0" w:space="0" w:color="auto"/>
        <w:right w:val="none" w:sz="0" w:space="0" w:color="auto"/>
      </w:divBdr>
      <w:divsChild>
        <w:div w:id="694690457">
          <w:marLeft w:val="0"/>
          <w:marRight w:val="0"/>
          <w:marTop w:val="0"/>
          <w:marBottom w:val="0"/>
          <w:divBdr>
            <w:top w:val="none" w:sz="0" w:space="0" w:color="auto"/>
            <w:left w:val="none" w:sz="0" w:space="0" w:color="auto"/>
            <w:bottom w:val="none" w:sz="0" w:space="0" w:color="auto"/>
            <w:right w:val="none" w:sz="0" w:space="0" w:color="auto"/>
          </w:divBdr>
          <w:divsChild>
            <w:div w:id="2109496174">
              <w:marLeft w:val="0"/>
              <w:marRight w:val="0"/>
              <w:marTop w:val="0"/>
              <w:marBottom w:val="0"/>
              <w:divBdr>
                <w:top w:val="none" w:sz="0" w:space="0" w:color="auto"/>
                <w:left w:val="none" w:sz="0" w:space="0" w:color="auto"/>
                <w:bottom w:val="none" w:sz="0" w:space="0" w:color="auto"/>
                <w:right w:val="none" w:sz="0" w:space="0" w:color="auto"/>
              </w:divBdr>
              <w:divsChild>
                <w:div w:id="13965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3362">
      <w:bodyDiv w:val="1"/>
      <w:marLeft w:val="0"/>
      <w:marRight w:val="0"/>
      <w:marTop w:val="0"/>
      <w:marBottom w:val="0"/>
      <w:divBdr>
        <w:top w:val="none" w:sz="0" w:space="0" w:color="auto"/>
        <w:left w:val="none" w:sz="0" w:space="0" w:color="auto"/>
        <w:bottom w:val="none" w:sz="0" w:space="0" w:color="auto"/>
        <w:right w:val="none" w:sz="0" w:space="0" w:color="auto"/>
      </w:divBdr>
      <w:divsChild>
        <w:div w:id="1319267672">
          <w:marLeft w:val="0"/>
          <w:marRight w:val="0"/>
          <w:marTop w:val="0"/>
          <w:marBottom w:val="0"/>
          <w:divBdr>
            <w:top w:val="none" w:sz="0" w:space="0" w:color="auto"/>
            <w:left w:val="none" w:sz="0" w:space="0" w:color="auto"/>
            <w:bottom w:val="none" w:sz="0" w:space="0" w:color="auto"/>
            <w:right w:val="none" w:sz="0" w:space="0" w:color="auto"/>
          </w:divBdr>
          <w:divsChild>
            <w:div w:id="1126507828">
              <w:marLeft w:val="0"/>
              <w:marRight w:val="0"/>
              <w:marTop w:val="0"/>
              <w:marBottom w:val="0"/>
              <w:divBdr>
                <w:top w:val="none" w:sz="0" w:space="0" w:color="auto"/>
                <w:left w:val="none" w:sz="0" w:space="0" w:color="auto"/>
                <w:bottom w:val="none" w:sz="0" w:space="0" w:color="auto"/>
                <w:right w:val="none" w:sz="0" w:space="0" w:color="auto"/>
              </w:divBdr>
              <w:divsChild>
                <w:div w:id="16419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7991">
      <w:bodyDiv w:val="1"/>
      <w:marLeft w:val="0"/>
      <w:marRight w:val="0"/>
      <w:marTop w:val="0"/>
      <w:marBottom w:val="0"/>
      <w:divBdr>
        <w:top w:val="none" w:sz="0" w:space="0" w:color="auto"/>
        <w:left w:val="none" w:sz="0" w:space="0" w:color="auto"/>
        <w:bottom w:val="none" w:sz="0" w:space="0" w:color="auto"/>
        <w:right w:val="none" w:sz="0" w:space="0" w:color="auto"/>
      </w:divBdr>
      <w:divsChild>
        <w:div w:id="1437093673">
          <w:marLeft w:val="0"/>
          <w:marRight w:val="0"/>
          <w:marTop w:val="0"/>
          <w:marBottom w:val="0"/>
          <w:divBdr>
            <w:top w:val="none" w:sz="0" w:space="0" w:color="auto"/>
            <w:left w:val="none" w:sz="0" w:space="0" w:color="auto"/>
            <w:bottom w:val="none" w:sz="0" w:space="0" w:color="auto"/>
            <w:right w:val="none" w:sz="0" w:space="0" w:color="auto"/>
          </w:divBdr>
          <w:divsChild>
            <w:div w:id="758866486">
              <w:marLeft w:val="0"/>
              <w:marRight w:val="0"/>
              <w:marTop w:val="0"/>
              <w:marBottom w:val="0"/>
              <w:divBdr>
                <w:top w:val="none" w:sz="0" w:space="0" w:color="auto"/>
                <w:left w:val="none" w:sz="0" w:space="0" w:color="auto"/>
                <w:bottom w:val="none" w:sz="0" w:space="0" w:color="auto"/>
                <w:right w:val="none" w:sz="0" w:space="0" w:color="auto"/>
              </w:divBdr>
              <w:divsChild>
                <w:div w:id="10409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26305">
      <w:bodyDiv w:val="1"/>
      <w:marLeft w:val="0"/>
      <w:marRight w:val="0"/>
      <w:marTop w:val="0"/>
      <w:marBottom w:val="0"/>
      <w:divBdr>
        <w:top w:val="none" w:sz="0" w:space="0" w:color="auto"/>
        <w:left w:val="none" w:sz="0" w:space="0" w:color="auto"/>
        <w:bottom w:val="none" w:sz="0" w:space="0" w:color="auto"/>
        <w:right w:val="none" w:sz="0" w:space="0" w:color="auto"/>
      </w:divBdr>
      <w:divsChild>
        <w:div w:id="2138445021">
          <w:marLeft w:val="0"/>
          <w:marRight w:val="0"/>
          <w:marTop w:val="0"/>
          <w:marBottom w:val="0"/>
          <w:divBdr>
            <w:top w:val="none" w:sz="0" w:space="0" w:color="auto"/>
            <w:left w:val="none" w:sz="0" w:space="0" w:color="auto"/>
            <w:bottom w:val="none" w:sz="0" w:space="0" w:color="auto"/>
            <w:right w:val="none" w:sz="0" w:space="0" w:color="auto"/>
          </w:divBdr>
          <w:divsChild>
            <w:div w:id="168570496">
              <w:marLeft w:val="0"/>
              <w:marRight w:val="0"/>
              <w:marTop w:val="0"/>
              <w:marBottom w:val="0"/>
              <w:divBdr>
                <w:top w:val="none" w:sz="0" w:space="0" w:color="auto"/>
                <w:left w:val="none" w:sz="0" w:space="0" w:color="auto"/>
                <w:bottom w:val="none" w:sz="0" w:space="0" w:color="auto"/>
                <w:right w:val="none" w:sz="0" w:space="0" w:color="auto"/>
              </w:divBdr>
              <w:divsChild>
                <w:div w:id="2913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6840">
      <w:bodyDiv w:val="1"/>
      <w:marLeft w:val="0"/>
      <w:marRight w:val="0"/>
      <w:marTop w:val="0"/>
      <w:marBottom w:val="0"/>
      <w:divBdr>
        <w:top w:val="none" w:sz="0" w:space="0" w:color="auto"/>
        <w:left w:val="none" w:sz="0" w:space="0" w:color="auto"/>
        <w:bottom w:val="none" w:sz="0" w:space="0" w:color="auto"/>
        <w:right w:val="none" w:sz="0" w:space="0" w:color="auto"/>
      </w:divBdr>
      <w:divsChild>
        <w:div w:id="1901940278">
          <w:marLeft w:val="0"/>
          <w:marRight w:val="0"/>
          <w:marTop w:val="0"/>
          <w:marBottom w:val="0"/>
          <w:divBdr>
            <w:top w:val="none" w:sz="0" w:space="0" w:color="auto"/>
            <w:left w:val="none" w:sz="0" w:space="0" w:color="auto"/>
            <w:bottom w:val="none" w:sz="0" w:space="0" w:color="auto"/>
            <w:right w:val="none" w:sz="0" w:space="0" w:color="auto"/>
          </w:divBdr>
          <w:divsChild>
            <w:div w:id="1644699233">
              <w:marLeft w:val="0"/>
              <w:marRight w:val="0"/>
              <w:marTop w:val="0"/>
              <w:marBottom w:val="0"/>
              <w:divBdr>
                <w:top w:val="none" w:sz="0" w:space="0" w:color="auto"/>
                <w:left w:val="none" w:sz="0" w:space="0" w:color="auto"/>
                <w:bottom w:val="none" w:sz="0" w:space="0" w:color="auto"/>
                <w:right w:val="none" w:sz="0" w:space="0" w:color="auto"/>
              </w:divBdr>
              <w:divsChild>
                <w:div w:id="99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7306">
      <w:bodyDiv w:val="1"/>
      <w:marLeft w:val="0"/>
      <w:marRight w:val="0"/>
      <w:marTop w:val="0"/>
      <w:marBottom w:val="0"/>
      <w:divBdr>
        <w:top w:val="none" w:sz="0" w:space="0" w:color="auto"/>
        <w:left w:val="none" w:sz="0" w:space="0" w:color="auto"/>
        <w:bottom w:val="none" w:sz="0" w:space="0" w:color="auto"/>
        <w:right w:val="none" w:sz="0" w:space="0" w:color="auto"/>
      </w:divBdr>
      <w:divsChild>
        <w:div w:id="748579450">
          <w:marLeft w:val="0"/>
          <w:marRight w:val="0"/>
          <w:marTop w:val="0"/>
          <w:marBottom w:val="0"/>
          <w:divBdr>
            <w:top w:val="none" w:sz="0" w:space="0" w:color="auto"/>
            <w:left w:val="none" w:sz="0" w:space="0" w:color="auto"/>
            <w:bottom w:val="none" w:sz="0" w:space="0" w:color="auto"/>
            <w:right w:val="none" w:sz="0" w:space="0" w:color="auto"/>
          </w:divBdr>
          <w:divsChild>
            <w:div w:id="1012222959">
              <w:marLeft w:val="0"/>
              <w:marRight w:val="0"/>
              <w:marTop w:val="0"/>
              <w:marBottom w:val="0"/>
              <w:divBdr>
                <w:top w:val="none" w:sz="0" w:space="0" w:color="auto"/>
                <w:left w:val="none" w:sz="0" w:space="0" w:color="auto"/>
                <w:bottom w:val="none" w:sz="0" w:space="0" w:color="auto"/>
                <w:right w:val="none" w:sz="0" w:space="0" w:color="auto"/>
              </w:divBdr>
              <w:divsChild>
                <w:div w:id="1702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sadye/inclusion-social/protocolo-ssv/grupo-trabajo.asp" TargetMode="External"/><Relationship Id="rId7" Type="http://schemas.openxmlformats.org/officeDocument/2006/relationships/hyperlink" Target="http://www.ohchr.org/Documents/Publications/pinheiro_principles_sp.pdf" TargetMode="External"/><Relationship Id="rId2" Type="http://schemas.openxmlformats.org/officeDocument/2006/relationships/hyperlink" Target="http://dle.rae.es" TargetMode="External"/><Relationship Id="rId1" Type="http://schemas.openxmlformats.org/officeDocument/2006/relationships/hyperlink" Target="http://www.oas.org/xxxivga/spanish/reference_docs/Convencion_Viena.pdf" TargetMode="External"/><Relationship Id="rId6" Type="http://schemas.openxmlformats.org/officeDocument/2006/relationships/hyperlink" Target="http://www.corteconstitucional.gov.co/relatoria/2004/t-025-04.htm" TargetMode="External"/><Relationship Id="rId5" Type="http://schemas.openxmlformats.org/officeDocument/2006/relationships/hyperlink" Target="http://www.corteconstitucional.gov.co/relatoria/2003/t-268-03.htm" TargetMode="External"/><Relationship Id="rId4" Type="http://schemas.openxmlformats.org/officeDocument/2006/relationships/hyperlink" Target="http://www.corteconstitucional.gov.co/relatoria/2003/t-268-03.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BB89-0853-4AF8-9C73-803BAC1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49</Pages>
  <Words>17355</Words>
  <Characters>95457</Characters>
  <Application>Microsoft Office Word</Application>
  <DocSecurity>0</DocSecurity>
  <Lines>795</Lines>
  <Paragraphs>225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112587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Corteidh</dc:creator>
  <cp:lastModifiedBy>Julliana Saborio</cp:lastModifiedBy>
  <cp:revision>4</cp:revision>
  <cp:lastPrinted>2016-12-09T00:36:00Z</cp:lastPrinted>
  <dcterms:created xsi:type="dcterms:W3CDTF">2017-01-10T19:27:00Z</dcterms:created>
  <dcterms:modified xsi:type="dcterms:W3CDTF">2017-01-10T21:40:00Z</dcterms:modified>
</cp:coreProperties>
</file>